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3FD1" w:rsidRDefault="00DF441D" w:rsidP="002E79CF">
      <w:pPr>
        <w:pStyle w:val="Ttulo"/>
      </w:pPr>
      <w:r>
        <w:t>TEMA 26.</w:t>
      </w:r>
    </w:p>
    <w:p w:rsidR="00DF441D" w:rsidRDefault="00DF441D">
      <w:r>
        <w:t>El impuesto sobre el Valor añadido (III): regímenes especiales. Gestión del impuesto.</w:t>
      </w:r>
    </w:p>
    <w:p w:rsidR="00DF441D" w:rsidRDefault="00DF441D" w:rsidP="00DF441D">
      <w:pPr>
        <w:pStyle w:val="Prrafodelista"/>
        <w:numPr>
          <w:ilvl w:val="0"/>
          <w:numId w:val="1"/>
        </w:numPr>
      </w:pPr>
      <w:r>
        <w:t>EL IMPUESTO SOBRE EL VALOR AÑADIDO</w:t>
      </w:r>
    </w:p>
    <w:p w:rsidR="00DF441D" w:rsidRDefault="00DF441D" w:rsidP="00DF441D">
      <w:r>
        <w:t>El IVA es un tributo de naturaleza indirecta que recae sobre el consumo y grava las entregas de bienes y prestaciones de servicios efectuados por empresarios o profesionales, las adquisiciones intracomunitarias de bienes y las importaciones</w:t>
      </w:r>
      <w:r w:rsidR="005E28C8">
        <w:t xml:space="preserve"> de bienes</w:t>
      </w:r>
      <w:r>
        <w:t>.</w:t>
      </w:r>
    </w:p>
    <w:p w:rsidR="00DF441D" w:rsidRDefault="00DF441D" w:rsidP="00DF441D">
      <w:r>
        <w:t xml:space="preserve">Regulado por la ley 37/1992 y por su reglamento de desarrollo </w:t>
      </w:r>
      <w:r w:rsidR="005E28C8">
        <w:t xml:space="preserve">RD </w:t>
      </w:r>
      <w:r>
        <w:t>1624/1992.</w:t>
      </w:r>
    </w:p>
    <w:p w:rsidR="00DF441D" w:rsidRDefault="00DF441D" w:rsidP="00DF441D">
      <w:pPr>
        <w:pStyle w:val="Prrafodelista"/>
        <w:numPr>
          <w:ilvl w:val="0"/>
          <w:numId w:val="1"/>
        </w:numPr>
      </w:pPr>
      <w:r>
        <w:t>REGÍMENES ESPECIALES.</w:t>
      </w:r>
    </w:p>
    <w:p w:rsidR="00DF441D" w:rsidRDefault="00DF441D" w:rsidP="00DF441D">
      <w:r>
        <w:t xml:space="preserve">Los regímenes especiales del </w:t>
      </w:r>
      <w:r w:rsidR="002E79CF">
        <w:t>IVA</w:t>
      </w:r>
      <w:r>
        <w:t xml:space="preserve"> son los siguientes (art 120):</w:t>
      </w:r>
    </w:p>
    <w:p w:rsidR="00DF441D" w:rsidRDefault="00DF441D" w:rsidP="00DF441D">
      <w:pPr>
        <w:pStyle w:val="Prrafodelista"/>
        <w:numPr>
          <w:ilvl w:val="0"/>
          <w:numId w:val="3"/>
        </w:numPr>
      </w:pPr>
      <w:r>
        <w:t>Régimen simplificado.</w:t>
      </w:r>
    </w:p>
    <w:p w:rsidR="00DF441D" w:rsidRDefault="00DF441D" w:rsidP="00DF441D">
      <w:pPr>
        <w:pStyle w:val="Prrafodelista"/>
        <w:numPr>
          <w:ilvl w:val="0"/>
          <w:numId w:val="3"/>
        </w:numPr>
      </w:pPr>
      <w:r>
        <w:t>Régimen especial de la agricultura</w:t>
      </w:r>
      <w:r w:rsidR="002E79CF">
        <w:t>,</w:t>
      </w:r>
      <w:r>
        <w:t xml:space="preserve"> ganadería y pesca.</w:t>
      </w:r>
    </w:p>
    <w:p w:rsidR="00DF441D" w:rsidRDefault="00DF441D" w:rsidP="00DF441D">
      <w:pPr>
        <w:pStyle w:val="Prrafodelista"/>
        <w:numPr>
          <w:ilvl w:val="0"/>
          <w:numId w:val="3"/>
        </w:numPr>
      </w:pPr>
      <w:r>
        <w:t xml:space="preserve">Régimen especial de los </w:t>
      </w:r>
      <w:r w:rsidR="005E28C8">
        <w:t xml:space="preserve">bienes usados objetos de arte, </w:t>
      </w:r>
      <w:r>
        <w:t>antigüedades y objetos de colección.</w:t>
      </w:r>
    </w:p>
    <w:p w:rsidR="00DF441D" w:rsidRDefault="00DF441D" w:rsidP="00DF441D">
      <w:pPr>
        <w:pStyle w:val="Prrafodelista"/>
        <w:numPr>
          <w:ilvl w:val="0"/>
          <w:numId w:val="3"/>
        </w:numPr>
      </w:pPr>
      <w:r>
        <w:t>Régimen especial aplicable a las operaciones con oro de inversión.</w:t>
      </w:r>
    </w:p>
    <w:p w:rsidR="00DF441D" w:rsidRDefault="00DF441D" w:rsidP="00DF441D">
      <w:pPr>
        <w:pStyle w:val="Prrafodelista"/>
        <w:numPr>
          <w:ilvl w:val="0"/>
          <w:numId w:val="3"/>
        </w:numPr>
      </w:pPr>
      <w:r>
        <w:t>Régimen especial de las agencias de viajes.</w:t>
      </w:r>
    </w:p>
    <w:p w:rsidR="00DF441D" w:rsidRDefault="00DF441D" w:rsidP="00DF441D">
      <w:pPr>
        <w:pStyle w:val="Prrafodelista"/>
        <w:numPr>
          <w:ilvl w:val="0"/>
          <w:numId w:val="3"/>
        </w:numPr>
      </w:pPr>
      <w:r>
        <w:t>Régimen especial el recargo de equivalencia.</w:t>
      </w:r>
    </w:p>
    <w:p w:rsidR="00DF441D" w:rsidRDefault="00DF441D" w:rsidP="00DF441D">
      <w:pPr>
        <w:pStyle w:val="Prrafodelista"/>
        <w:numPr>
          <w:ilvl w:val="0"/>
          <w:numId w:val="3"/>
        </w:numPr>
      </w:pPr>
      <w:r>
        <w:t>Regímenes especiales aplicables a los servicios de telecomunicaciones, de radiodifusión o televisión y a los prestados por vía electrónica.</w:t>
      </w:r>
    </w:p>
    <w:p w:rsidR="00DF441D" w:rsidRDefault="00DF441D" w:rsidP="00DF441D">
      <w:pPr>
        <w:pStyle w:val="Prrafodelista"/>
        <w:numPr>
          <w:ilvl w:val="0"/>
          <w:numId w:val="3"/>
        </w:numPr>
      </w:pPr>
      <w:r>
        <w:t>Régimen especial del grupo de entidades.</w:t>
      </w:r>
    </w:p>
    <w:p w:rsidR="00DF441D" w:rsidRDefault="00DF441D" w:rsidP="00DF441D">
      <w:pPr>
        <w:pStyle w:val="Prrafodelista"/>
        <w:numPr>
          <w:ilvl w:val="0"/>
          <w:numId w:val="3"/>
        </w:numPr>
      </w:pPr>
      <w:r>
        <w:t>Régimen especial del criterio de caja.</w:t>
      </w:r>
    </w:p>
    <w:p w:rsidR="00DF441D" w:rsidRDefault="00DF441D" w:rsidP="00DF441D">
      <w:r>
        <w:t>Tienen por finalidad simplificar el cumplimiento de obligaciones formales</w:t>
      </w:r>
      <w:r w:rsidR="00CD7E00">
        <w:t>, como es el caso del régimen simplificado y también trata</w:t>
      </w:r>
      <w:r w:rsidR="005E28C8">
        <w:t>n</w:t>
      </w:r>
      <w:r w:rsidR="00CD7E00">
        <w:t xml:space="preserve"> de evitar una posible sobreimposición que afectaría a la neutralidad del impuesto</w:t>
      </w:r>
      <w:r w:rsidR="005E28C8">
        <w:t xml:space="preserve"> (régimen de bienes usados)</w:t>
      </w:r>
      <w:r>
        <w:t>.</w:t>
      </w:r>
    </w:p>
    <w:p w:rsidR="00DF441D" w:rsidRDefault="00DF441D">
      <w:r>
        <w:t>2.1 REGIMEN SIMPLIFICADO</w:t>
      </w:r>
    </w:p>
    <w:p w:rsidR="00DF441D" w:rsidRDefault="00DF441D">
      <w:r>
        <w:t>Se regula en los artículos 122 y 123</w:t>
      </w:r>
      <w:r w:rsidR="00993414">
        <w:t xml:space="preserve"> de la Ley</w:t>
      </w:r>
      <w:r>
        <w:t xml:space="preserve"> y en el reglamento.</w:t>
      </w:r>
    </w:p>
    <w:p w:rsidR="00DF441D" w:rsidRDefault="00DF441D">
      <w:r>
        <w:t>Ré</w:t>
      </w:r>
      <w:r w:rsidR="005E28C8">
        <w:t xml:space="preserve">gimen voluntario, se aplicará a </w:t>
      </w:r>
      <w:r w:rsidR="00083813" w:rsidRPr="005E28C8">
        <w:t>personas físicas y</w:t>
      </w:r>
      <w:r w:rsidR="005E28C8">
        <w:t xml:space="preserve"> a</w:t>
      </w:r>
      <w:r w:rsidR="00083813" w:rsidRPr="005E28C8">
        <w:t xml:space="preserve"> entidades en régimen de atribución de rentas en el Impuesto sobre la Renta de las Personas Físicas</w:t>
      </w:r>
      <w:r w:rsidR="00083813" w:rsidRPr="00083813">
        <w:t>,</w:t>
      </w:r>
      <w:r w:rsidR="001755E5">
        <w:t xml:space="preserve"> salvo renuncia expresa</w:t>
      </w:r>
      <w:r w:rsidR="00083813" w:rsidRPr="00083813">
        <w:t xml:space="preserve"> </w:t>
      </w:r>
      <w:r>
        <w:t>presentada durante el mes de diciembre anterior al inicio del año natural o al presentar la declaración de comienzo de actividad. La renuncia tendrá efecto por un periodo mínimo de tres años.</w:t>
      </w:r>
    </w:p>
    <w:p w:rsidR="00500C01" w:rsidRDefault="00500C01">
      <w:r>
        <w:t>Quedarán excluidos del régimen simplificado los siguientes empresarios o profesionales:</w:t>
      </w:r>
    </w:p>
    <w:p w:rsidR="00500C01" w:rsidRPr="00500C01" w:rsidRDefault="00500C01" w:rsidP="00500C01">
      <w:pPr>
        <w:pStyle w:val="Prrafodelista"/>
        <w:numPr>
          <w:ilvl w:val="0"/>
          <w:numId w:val="4"/>
        </w:numPr>
      </w:pPr>
      <w:r>
        <w:t>Q</w:t>
      </w:r>
      <w:r w:rsidRPr="00500C01">
        <w:t>ue realicen otras actividades económicas no comprendidas en el régimen simplificado, salvo</w:t>
      </w:r>
      <w:r w:rsidR="003D5082">
        <w:t xml:space="preserve"> las acogidas al </w:t>
      </w:r>
      <w:r>
        <w:t>régimen</w:t>
      </w:r>
      <w:r w:rsidRPr="00500C01">
        <w:t xml:space="preserve"> </w:t>
      </w:r>
      <w:r w:rsidR="003D5082">
        <w:t xml:space="preserve">de </w:t>
      </w:r>
      <w:r w:rsidRPr="00500C01">
        <w:t>agricultura, ganadería y pesca</w:t>
      </w:r>
      <w:r>
        <w:t xml:space="preserve"> o del recargo de equivalencia u</w:t>
      </w:r>
      <w:r w:rsidRPr="00500C01">
        <w:t xml:space="preserve"> otras actividades que se determinen reglamentariamente.</w:t>
      </w:r>
    </w:p>
    <w:p w:rsidR="00500C01" w:rsidRPr="00500C01" w:rsidRDefault="00500C01" w:rsidP="00500C01">
      <w:pPr>
        <w:pStyle w:val="Prrafodelista"/>
        <w:numPr>
          <w:ilvl w:val="0"/>
          <w:numId w:val="4"/>
        </w:numPr>
      </w:pPr>
      <w:r w:rsidRPr="00500C01">
        <w:t>Que el volumen de ingresos en el año inmediato anterior, supere</w:t>
      </w:r>
      <w:r w:rsidR="00993414">
        <w:t xml:space="preserve"> para el conjunto de sus actividades</w:t>
      </w:r>
      <w:r w:rsidRPr="00500C01">
        <w:t xml:space="preserve"> </w:t>
      </w:r>
      <w:r>
        <w:t>los 250.000 euros anuales</w:t>
      </w:r>
      <w:r w:rsidR="00993414">
        <w:t xml:space="preserve"> si se trata de actividades agrícolas y ganaderas y 150.000 euros si no son actividades agrícolas y ganaderas.</w:t>
      </w:r>
    </w:p>
    <w:p w:rsidR="00500C01" w:rsidRPr="00500C01" w:rsidRDefault="00500C01" w:rsidP="00500C01">
      <w:pPr>
        <w:pStyle w:val="Prrafodelista"/>
        <w:numPr>
          <w:ilvl w:val="0"/>
          <w:numId w:val="4"/>
        </w:numPr>
      </w:pPr>
      <w:r>
        <w:t>Cuando las</w:t>
      </w:r>
      <w:r w:rsidRPr="00500C01">
        <w:t xml:space="preserve"> adquisiciones e importaciones de bienes y servicios para el conjunto de sus actividades empresariales o profesionales, excluidas las relativas a elementos del inmovilizado, hayan superado en el año in</w:t>
      </w:r>
      <w:r>
        <w:t>mediato ant</w:t>
      </w:r>
      <w:r w:rsidR="00993414">
        <w:t>erior el importe de 1</w:t>
      </w:r>
      <w:r>
        <w:t>50.000 euro</w:t>
      </w:r>
      <w:r w:rsidR="001755E5">
        <w:t>s anuales.</w:t>
      </w:r>
    </w:p>
    <w:p w:rsidR="00500C01" w:rsidRDefault="00500C01" w:rsidP="00500C01">
      <w:pPr>
        <w:pStyle w:val="Prrafodelista"/>
        <w:numPr>
          <w:ilvl w:val="0"/>
          <w:numId w:val="4"/>
        </w:numPr>
      </w:pPr>
      <w:r w:rsidRPr="00500C01">
        <w:lastRenderedPageBreak/>
        <w:t>Los que renuncien o hubiesen quedado excluidos de la aplicación del régimen de estimación objetiva del Impuesto sobre la Renta de las Personas Físicas por cualquiera de sus actividades.</w:t>
      </w:r>
    </w:p>
    <w:p w:rsidR="00500C01" w:rsidRDefault="00500C01" w:rsidP="00500C01">
      <w:r>
        <w:t>2.1.2 Ámbito objetivo y subjetivo.</w:t>
      </w:r>
    </w:p>
    <w:p w:rsidR="00500C01" w:rsidRDefault="00201A1B" w:rsidP="00201A1B">
      <w:pPr>
        <w:pStyle w:val="Prrafodelista"/>
        <w:numPr>
          <w:ilvl w:val="0"/>
          <w:numId w:val="5"/>
        </w:numPr>
      </w:pPr>
      <w:r>
        <w:t xml:space="preserve">Los sujetos determinarán para cada actividad el importe de las cuotas de </w:t>
      </w:r>
      <w:r w:rsidR="002E79CF">
        <w:t>IVA</w:t>
      </w:r>
      <w:r>
        <w:t xml:space="preserve"> y del recargo de equivalencia por aplicación de los índices establecidos en la Orden ministerial, pudiendo deducir las cuotas de </w:t>
      </w:r>
      <w:r w:rsidR="002E79CF">
        <w:t>IVA</w:t>
      </w:r>
      <w:r>
        <w:t xml:space="preserve"> sopo</w:t>
      </w:r>
      <w:r w:rsidR="00842C8F">
        <w:t>rtado ajustándose a las siguientes reglas</w:t>
      </w:r>
      <w:r>
        <w:t>:</w:t>
      </w:r>
    </w:p>
    <w:p w:rsidR="00201A1B" w:rsidRDefault="00842C8F" w:rsidP="00201A1B">
      <w:pPr>
        <w:pStyle w:val="Prrafodelista"/>
        <w:numPr>
          <w:ilvl w:val="0"/>
          <w:numId w:val="6"/>
        </w:numPr>
      </w:pPr>
      <w:r>
        <w:t>No son</w:t>
      </w:r>
      <w:r w:rsidR="00201A1B">
        <w:t xml:space="preserve"> deducibles las cuotas por desplazamientos y restauración cuando se desarrolle la actividad en local determinado.</w:t>
      </w:r>
    </w:p>
    <w:p w:rsidR="00201A1B" w:rsidRDefault="00201A1B" w:rsidP="00201A1B">
      <w:pPr>
        <w:pStyle w:val="Prrafodelista"/>
        <w:numPr>
          <w:ilvl w:val="0"/>
          <w:numId w:val="6"/>
        </w:numPr>
      </w:pPr>
      <w:r>
        <w:t>Solo serán deducibles las cuotas soportadas en la declaración liquidación del último periodo del año.</w:t>
      </w:r>
    </w:p>
    <w:p w:rsidR="00201A1B" w:rsidRDefault="00201A1B" w:rsidP="00201A1B">
      <w:pPr>
        <w:pStyle w:val="Prrafodelista"/>
        <w:numPr>
          <w:ilvl w:val="0"/>
          <w:numId w:val="6"/>
        </w:numPr>
      </w:pPr>
      <w:r>
        <w:t>Los bienes sí se utilizan en común para varias actividades acogidas</w:t>
      </w:r>
      <w:r w:rsidR="002E79CF">
        <w:t xml:space="preserve"> a este régimen se</w:t>
      </w:r>
      <w:r>
        <w:t xml:space="preserve"> prorrateará en función de la utilización efectiva.</w:t>
      </w:r>
    </w:p>
    <w:p w:rsidR="00201A1B" w:rsidRDefault="00201A1B" w:rsidP="00201A1B">
      <w:pPr>
        <w:pStyle w:val="Prrafodelista"/>
        <w:numPr>
          <w:ilvl w:val="0"/>
          <w:numId w:val="6"/>
        </w:numPr>
      </w:pPr>
      <w:r>
        <w:t>Sean deducibles las compensaciones agrícolas.</w:t>
      </w:r>
    </w:p>
    <w:p w:rsidR="00201A1B" w:rsidRDefault="00201A1B" w:rsidP="00CD7E00">
      <w:pPr>
        <w:pStyle w:val="Prrafodelista"/>
        <w:numPr>
          <w:ilvl w:val="0"/>
          <w:numId w:val="6"/>
        </w:numPr>
      </w:pPr>
      <w:r>
        <w:t>Se deducirá un 1 por ciento de</w:t>
      </w:r>
      <w:r w:rsidR="00842C8F">
        <w:t xml:space="preserve"> la cuota devengada en concepto de</w:t>
      </w:r>
      <w:r>
        <w:t xml:space="preserve"> cuotas de difícil justificación.</w:t>
      </w:r>
    </w:p>
    <w:p w:rsidR="00201A1B" w:rsidRDefault="00201A1B" w:rsidP="00201A1B">
      <w:pPr>
        <w:pStyle w:val="Prrafodelista"/>
        <w:numPr>
          <w:ilvl w:val="0"/>
          <w:numId w:val="5"/>
        </w:numPr>
      </w:pPr>
      <w:r>
        <w:t>El importe de las cuotas deberá incrementarse:</w:t>
      </w:r>
    </w:p>
    <w:p w:rsidR="00201A1B" w:rsidRDefault="00201A1B" w:rsidP="00201A1B">
      <w:pPr>
        <w:pStyle w:val="Prrafodelista"/>
        <w:numPr>
          <w:ilvl w:val="0"/>
          <w:numId w:val="7"/>
        </w:numPr>
      </w:pPr>
      <w:r>
        <w:t>Adquisiciones intracomunitarias de bienes</w:t>
      </w:r>
    </w:p>
    <w:p w:rsidR="00201A1B" w:rsidRDefault="00201A1B" w:rsidP="00201A1B">
      <w:pPr>
        <w:pStyle w:val="Prrafodelista"/>
        <w:numPr>
          <w:ilvl w:val="0"/>
          <w:numId w:val="7"/>
        </w:numPr>
      </w:pPr>
      <w:r>
        <w:t>Inversión del sujeto pasivo</w:t>
      </w:r>
    </w:p>
    <w:p w:rsidR="00201A1B" w:rsidRDefault="00201A1B" w:rsidP="00201A1B">
      <w:pPr>
        <w:pStyle w:val="Prrafodelista"/>
        <w:numPr>
          <w:ilvl w:val="0"/>
          <w:numId w:val="7"/>
        </w:numPr>
      </w:pPr>
      <w:r>
        <w:t>Entregas y transmisiones de activos fijos.</w:t>
      </w:r>
    </w:p>
    <w:p w:rsidR="00201A1B" w:rsidRDefault="00201A1B" w:rsidP="00201A1B">
      <w:pPr>
        <w:pStyle w:val="Prrafodelista"/>
        <w:numPr>
          <w:ilvl w:val="0"/>
          <w:numId w:val="5"/>
        </w:numPr>
      </w:pPr>
      <w:r>
        <w:t>Podrá deducirse el importe de la cuota soportado por adquisición de activos fijos destinados a la actividad.</w:t>
      </w:r>
    </w:p>
    <w:p w:rsidR="00201A1B" w:rsidRDefault="002E79CF" w:rsidP="00201A1B">
      <w:r>
        <w:t>2.1.3 P</w:t>
      </w:r>
      <w:r w:rsidR="00201A1B">
        <w:t>eriodificación de los ingresos</w:t>
      </w:r>
    </w:p>
    <w:p w:rsidR="00201A1B" w:rsidRDefault="00201A1B" w:rsidP="00201A1B">
      <w:r>
        <w:t>En las declaraciones liquidaciones correspondientes a los primeros trimestres del año s</w:t>
      </w:r>
      <w:r w:rsidR="00842C8F">
        <w:t>e realizará un ingreso a cuenta utilizando los datos base del día 1 de enero de cada año o del día de inicio de la actividad.</w:t>
      </w:r>
    </w:p>
    <w:p w:rsidR="00201A1B" w:rsidRDefault="00201A1B" w:rsidP="00201A1B">
      <w:r>
        <w:t>La declaración liquidación correspondiente al último trimestre del año se calculará la cuota del régimen simplificado y se restarán las cantidades liquidadas en las declaraciones liquidaciones de los tres primeros trimestres del ejercicio.</w:t>
      </w:r>
    </w:p>
    <w:p w:rsidR="00201A1B" w:rsidRDefault="00201A1B" w:rsidP="00201A1B">
      <w:r>
        <w:t>2.2 RÉGIMEN ESPECIAL DE LA AGRICULTURA, GANADERÍA Y PESCA</w:t>
      </w:r>
    </w:p>
    <w:p w:rsidR="00201A1B" w:rsidRDefault="008A1159" w:rsidP="00201A1B">
      <w:r>
        <w:t>Se regula en los artículos 124 a</w:t>
      </w:r>
      <w:r w:rsidR="00201A1B">
        <w:t xml:space="preserve"> 134 bis de la ley y en el reglamento.</w:t>
      </w:r>
    </w:p>
    <w:p w:rsidR="00201A1B" w:rsidRDefault="00201A1B" w:rsidP="00201A1B">
      <w:r>
        <w:t>Régimen voluntario que se aplicará salvo renuncia expresa de los sujetos pasivos presentada durante el mes de diciembre anterior al inicio del año natural o al presentar la declaración de comienzo de actividad. La renuncia tendrá efecto por un periodo mínimo de tres años.</w:t>
      </w:r>
    </w:p>
    <w:p w:rsidR="00DF441D" w:rsidRDefault="000F52DA">
      <w:r>
        <w:t>2.2.1 Ámbito de aplicación</w:t>
      </w:r>
    </w:p>
    <w:p w:rsidR="000F52DA" w:rsidRDefault="000F52DA" w:rsidP="000F52DA">
      <w:r>
        <w:t>Aplicable a los titulares de explotaciones agrícolas, forestales, ganaderas o pesqueras.</w:t>
      </w:r>
    </w:p>
    <w:p w:rsidR="000F52DA" w:rsidRDefault="000F52DA" w:rsidP="000F52DA">
      <w:r>
        <w:t>Quedaran excluidos:</w:t>
      </w:r>
    </w:p>
    <w:p w:rsidR="000F52DA" w:rsidRDefault="000F52DA" w:rsidP="00024EE4">
      <w:pPr>
        <w:pStyle w:val="parrafo2"/>
        <w:numPr>
          <w:ilvl w:val="0"/>
          <w:numId w:val="8"/>
        </w:numPr>
        <w:jc w:val="both"/>
      </w:pPr>
      <w:r>
        <w:t>Las sociedades mercantiles.</w:t>
      </w:r>
    </w:p>
    <w:p w:rsidR="000F52DA" w:rsidRDefault="000F52DA" w:rsidP="00024EE4">
      <w:pPr>
        <w:pStyle w:val="parrafo"/>
        <w:numPr>
          <w:ilvl w:val="0"/>
          <w:numId w:val="8"/>
        </w:numPr>
        <w:jc w:val="both"/>
      </w:pPr>
      <w:r>
        <w:t>Las sociedades cooperativas y las sociedades agrarias de transformación.</w:t>
      </w:r>
    </w:p>
    <w:p w:rsidR="000F52DA" w:rsidRDefault="000F52DA" w:rsidP="001B237F">
      <w:pPr>
        <w:pStyle w:val="parrafo"/>
        <w:numPr>
          <w:ilvl w:val="0"/>
          <w:numId w:val="8"/>
        </w:numPr>
        <w:jc w:val="both"/>
      </w:pPr>
      <w:r>
        <w:t>Sujetos pasivos cuyo volumen de operaciones durante el año inmediatamente anterior hubiese excedido</w:t>
      </w:r>
      <w:r w:rsidR="00842C8F">
        <w:t xml:space="preserve"> de 250.000 euros para las operaciones en el r</w:t>
      </w:r>
      <w:r w:rsidR="005C5133">
        <w:t>égimen especial y 1</w:t>
      </w:r>
      <w:r w:rsidR="00842C8F">
        <w:t>50.000 euros para el resto de las actividades</w:t>
      </w:r>
    </w:p>
    <w:p w:rsidR="000F52DA" w:rsidRDefault="000F52DA" w:rsidP="00024EE4">
      <w:pPr>
        <w:pStyle w:val="parrafo"/>
        <w:numPr>
          <w:ilvl w:val="0"/>
          <w:numId w:val="8"/>
        </w:numPr>
        <w:jc w:val="both"/>
      </w:pPr>
      <w:r>
        <w:lastRenderedPageBreak/>
        <w:t>Los empresarios o profesionales cuyas adquisiciones o importaciones, excluido el inmovilizado, durante el año anterior h</w:t>
      </w:r>
      <w:r w:rsidR="005C5133">
        <w:t>aya superado 15</w:t>
      </w:r>
      <w:r>
        <w:t>0.000 euros, excluido IVA.</w:t>
      </w:r>
    </w:p>
    <w:p w:rsidR="000F52DA" w:rsidRDefault="000F52DA" w:rsidP="000F52DA">
      <w:pPr>
        <w:pStyle w:val="parrafo"/>
      </w:pPr>
      <w:r>
        <w:t>2.2.2 Contenido</w:t>
      </w:r>
    </w:p>
    <w:p w:rsidR="000F52DA" w:rsidRDefault="000F52DA" w:rsidP="00024EE4">
      <w:pPr>
        <w:pStyle w:val="parrafo"/>
        <w:numPr>
          <w:ilvl w:val="0"/>
          <w:numId w:val="9"/>
        </w:numPr>
        <w:jc w:val="both"/>
      </w:pPr>
      <w:r>
        <w:t>Los sujetos pasivos no podrán deducir las cuotas soportadas por las adquisiciones o importaciones en la medida que se utilicen para las actividades a las que sea de aplicación esté régimen.</w:t>
      </w:r>
    </w:p>
    <w:p w:rsidR="000F52DA" w:rsidRDefault="000F52DA" w:rsidP="00024EE4">
      <w:pPr>
        <w:pStyle w:val="parrafo"/>
        <w:numPr>
          <w:ilvl w:val="0"/>
          <w:numId w:val="9"/>
        </w:numPr>
        <w:jc w:val="both"/>
      </w:pPr>
      <w:r>
        <w:t xml:space="preserve">Los sujetos pasivos tendrán derecho a percibir una compensación a tanto alzado por las cuotas del </w:t>
      </w:r>
      <w:r w:rsidR="002E79CF">
        <w:t>IVA</w:t>
      </w:r>
      <w:r>
        <w:t xml:space="preserve"> que les hayan sido repercutidas en las adquisiciones de bienes </w:t>
      </w:r>
      <w:r w:rsidR="006B6630">
        <w:t>o los servicios que les presten (12% productos naturales agrícolas o forestales y 10,5% productos ganaderos o pesqueros)</w:t>
      </w:r>
    </w:p>
    <w:p w:rsidR="006B6630" w:rsidRDefault="006B6630" w:rsidP="00024EE4">
      <w:pPr>
        <w:pStyle w:val="parrafo"/>
        <w:numPr>
          <w:ilvl w:val="0"/>
          <w:numId w:val="9"/>
        </w:numPr>
        <w:jc w:val="both"/>
      </w:pPr>
      <w:r>
        <w:t xml:space="preserve">No están sometidos a liquidaciones, ni obligaciones </w:t>
      </w:r>
      <w:r w:rsidR="00E07821">
        <w:t>contables,</w:t>
      </w:r>
      <w:r>
        <w:t xml:space="preserve"> aunque deberán liquidar el impuesto por las adquisiciones intracomunitarias de bienes que realicen y en caso de aplicación de la regla de inversión del sujeto pasivo.</w:t>
      </w:r>
    </w:p>
    <w:p w:rsidR="000F52DA" w:rsidRDefault="00024EE4" w:rsidP="00024EE4">
      <w:pPr>
        <w:pStyle w:val="parrafo"/>
      </w:pPr>
      <w:r>
        <w:t>2.3 RÉGIMEN ESPECIAL DE LOS BIENES USADOS, OBJETOS DE ARTE, ANTIGÜEDADES Y OBJETOS DE COLECCIÓN</w:t>
      </w:r>
    </w:p>
    <w:p w:rsidR="00024EE4" w:rsidRDefault="00024EE4" w:rsidP="00024EE4">
      <w:r>
        <w:t>Se encuentra regulado en los art</w:t>
      </w:r>
      <w:r w:rsidR="002E79CF">
        <w:t>ículos 135 a 139 de la ley y</w:t>
      </w:r>
      <w:r>
        <w:t xml:space="preserve"> en el reglamento.</w:t>
      </w:r>
    </w:p>
    <w:p w:rsidR="00024EE4" w:rsidRDefault="00024EE4" w:rsidP="00024EE4">
      <w:r>
        <w:t>Es un régimen voluntario aplicable salvo renuncia de los sujetos pasivos, que podrá efectuarse para cada operación en particul</w:t>
      </w:r>
      <w:r w:rsidR="002E79CF">
        <w:t>ar y sin comunicación expresa a</w:t>
      </w:r>
      <w:r>
        <w:t xml:space="preserve"> la Administración.</w:t>
      </w:r>
    </w:p>
    <w:p w:rsidR="00024EE4" w:rsidRDefault="00024EE4" w:rsidP="00024EE4">
      <w:r>
        <w:t>2.3.1 Ámbito de aplicación</w:t>
      </w:r>
    </w:p>
    <w:p w:rsidR="00024EE4" w:rsidRDefault="00024EE4" w:rsidP="00024EE4">
      <w:r>
        <w:t>Es aplicable a, entre otros:</w:t>
      </w:r>
    </w:p>
    <w:p w:rsidR="00024EE4" w:rsidRDefault="00024EE4" w:rsidP="00024EE4">
      <w:pPr>
        <w:pStyle w:val="Prrafodelista"/>
        <w:numPr>
          <w:ilvl w:val="0"/>
          <w:numId w:val="10"/>
        </w:numPr>
      </w:pPr>
      <w:r>
        <w:t>Entregas de bienes usados</w:t>
      </w:r>
      <w:r w:rsidR="00F16447">
        <w:t>,</w:t>
      </w:r>
      <w:r>
        <w:t xml:space="preserve"> objetos de arte</w:t>
      </w:r>
      <w:r w:rsidR="00F16447">
        <w:t>,</w:t>
      </w:r>
      <w:r>
        <w:t xml:space="preserve"> </w:t>
      </w:r>
      <w:r w:rsidR="002E79CF">
        <w:t>antigüedades</w:t>
      </w:r>
      <w:r>
        <w:t xml:space="preserve"> u objetos de colección adquiridos por el revendedor a:</w:t>
      </w:r>
    </w:p>
    <w:p w:rsidR="00024EE4" w:rsidRDefault="00024EE4" w:rsidP="00024EE4">
      <w:pPr>
        <w:pStyle w:val="Prrafodelista"/>
        <w:numPr>
          <w:ilvl w:val="0"/>
          <w:numId w:val="11"/>
        </w:numPr>
      </w:pPr>
      <w:r>
        <w:t>Personas que no tengan la condición de empresarios</w:t>
      </w:r>
      <w:r w:rsidR="002E79CF">
        <w:t>.</w:t>
      </w:r>
    </w:p>
    <w:p w:rsidR="00024EE4" w:rsidRDefault="00024EE4" w:rsidP="00024EE4">
      <w:pPr>
        <w:pStyle w:val="Prrafodelista"/>
        <w:numPr>
          <w:ilvl w:val="0"/>
          <w:numId w:val="11"/>
        </w:numPr>
      </w:pPr>
      <w:r>
        <w:t>Empresarios en régimen de franquicia del impuesto</w:t>
      </w:r>
      <w:r w:rsidR="002E79CF">
        <w:t>.</w:t>
      </w:r>
    </w:p>
    <w:p w:rsidR="00024EE4" w:rsidRDefault="00024EE4" w:rsidP="00024EE4">
      <w:pPr>
        <w:pStyle w:val="Prrafodelista"/>
        <w:numPr>
          <w:ilvl w:val="0"/>
          <w:numId w:val="11"/>
        </w:numPr>
      </w:pPr>
      <w:r>
        <w:t>Empresarios en virtud de una entrega exenta por exención técnica.</w:t>
      </w:r>
    </w:p>
    <w:p w:rsidR="00024EE4" w:rsidRDefault="00024EE4" w:rsidP="00024EE4">
      <w:pPr>
        <w:pStyle w:val="Prrafodelista"/>
        <w:numPr>
          <w:ilvl w:val="0"/>
          <w:numId w:val="11"/>
        </w:numPr>
      </w:pPr>
      <w:r>
        <w:t>Otro sujeto pasivo o revendedor que haya aplicado este régimen.</w:t>
      </w:r>
    </w:p>
    <w:p w:rsidR="00024EE4" w:rsidRDefault="002E79CF" w:rsidP="00024EE4">
      <w:pPr>
        <w:pStyle w:val="Prrafodelista"/>
        <w:numPr>
          <w:ilvl w:val="0"/>
          <w:numId w:val="10"/>
        </w:numPr>
      </w:pPr>
      <w:r>
        <w:t>E</w:t>
      </w:r>
      <w:r w:rsidR="00024EE4">
        <w:t xml:space="preserve">ntregas de objetos de arte, </w:t>
      </w:r>
      <w:r>
        <w:t>antigüedades</w:t>
      </w:r>
      <w:r w:rsidR="00024EE4">
        <w:t xml:space="preserve"> u objetos de colección que hayan sido importados por el propio sujeto pasivo revendedor.</w:t>
      </w:r>
    </w:p>
    <w:p w:rsidR="00F16447" w:rsidRDefault="00F16447" w:rsidP="00024EE4">
      <w:pPr>
        <w:pStyle w:val="Prrafodelista"/>
        <w:numPr>
          <w:ilvl w:val="0"/>
          <w:numId w:val="10"/>
        </w:numPr>
      </w:pPr>
      <w:r>
        <w:t>Entregas de objetos de arte adquiridos a los autores o derechohabientes de los mismos.</w:t>
      </w:r>
    </w:p>
    <w:p w:rsidR="00024EE4" w:rsidRDefault="00024EE4" w:rsidP="00024EE4">
      <w:r>
        <w:t>2.3.2 Contenido</w:t>
      </w:r>
    </w:p>
    <w:p w:rsidR="00024EE4" w:rsidRDefault="00024EE4" w:rsidP="00024EE4">
      <w:pPr>
        <w:pStyle w:val="Prrafodelista"/>
        <w:numPr>
          <w:ilvl w:val="0"/>
          <w:numId w:val="12"/>
        </w:numPr>
      </w:pPr>
      <w:r>
        <w:t>La base imponible estará constituida por el margen de beneficio (precio venta – precio com</w:t>
      </w:r>
      <w:r w:rsidR="00F16447">
        <w:t>pra) aplicado por el revendedor, minorado en la cuota del IVA correspondiente a dicho margen.</w:t>
      </w:r>
    </w:p>
    <w:p w:rsidR="00024EE4" w:rsidRDefault="00024EE4" w:rsidP="00024EE4">
      <w:pPr>
        <w:pStyle w:val="Prrafodelista"/>
        <w:numPr>
          <w:ilvl w:val="0"/>
          <w:numId w:val="12"/>
        </w:numPr>
      </w:pPr>
      <w:r>
        <w:t>Los sujetos pasivos revendedores no podrán deducir las cuotas del impuesto soportadas por la adquisición o importación de bienes que sean transmitidos en virtud de entregas sometidas a este régimen especial.</w:t>
      </w:r>
    </w:p>
    <w:p w:rsidR="00F16447" w:rsidRDefault="00F16447" w:rsidP="00024EE4">
      <w:pPr>
        <w:pStyle w:val="Prrafodelista"/>
        <w:numPr>
          <w:ilvl w:val="0"/>
          <w:numId w:val="12"/>
        </w:numPr>
      </w:pPr>
      <w:r>
        <w:t>En las facturas no podrá consignarse separadamente la cuota reperc</w:t>
      </w:r>
      <w:r w:rsidR="00DF0142">
        <w:t xml:space="preserve">utida, debiendo entenderse esta, </w:t>
      </w:r>
      <w:r>
        <w:t>comprendida en el precio total de la operación</w:t>
      </w:r>
    </w:p>
    <w:p w:rsidR="00024EE4" w:rsidRDefault="00024EE4" w:rsidP="00024EE4">
      <w:r>
        <w:t>2.4 RÉGIMEN ESPECIAL DEL ORO DE INVERSIÓN</w:t>
      </w:r>
    </w:p>
    <w:p w:rsidR="00024EE4" w:rsidRDefault="00024EE4" w:rsidP="00024EE4">
      <w:r>
        <w:t>Régimen especial de carácter obligatorio regulado en los artículos 140 a 140 sexies de la LIVA y en el reglamento.</w:t>
      </w:r>
    </w:p>
    <w:p w:rsidR="00024EE4" w:rsidRDefault="00024EE4" w:rsidP="00024EE4">
      <w:r>
        <w:lastRenderedPageBreak/>
        <w:t>2.4.1 Concepto de oro de inversión</w:t>
      </w:r>
    </w:p>
    <w:p w:rsidR="00024EE4" w:rsidRDefault="00024EE4" w:rsidP="002E79CF">
      <w:pPr>
        <w:pStyle w:val="Prrafodelista"/>
        <w:numPr>
          <w:ilvl w:val="0"/>
          <w:numId w:val="23"/>
        </w:numPr>
      </w:pPr>
      <w:r>
        <w:t>Los lingotes o láminas de oro de ley igual o superior a 995 milésimas.</w:t>
      </w:r>
    </w:p>
    <w:p w:rsidR="00024EE4" w:rsidRDefault="00024EE4" w:rsidP="002E79CF">
      <w:pPr>
        <w:pStyle w:val="Prrafodelista"/>
        <w:numPr>
          <w:ilvl w:val="0"/>
          <w:numId w:val="23"/>
        </w:numPr>
      </w:pPr>
      <w:r>
        <w:t>Las monedas de oro que reúnan los siguientes requisitos:</w:t>
      </w:r>
    </w:p>
    <w:p w:rsidR="00024EE4" w:rsidRDefault="00024EE4" w:rsidP="002E79CF">
      <w:pPr>
        <w:pStyle w:val="Prrafodelista"/>
        <w:numPr>
          <w:ilvl w:val="0"/>
          <w:numId w:val="24"/>
        </w:numPr>
      </w:pPr>
      <w:r>
        <w:t>Que sean de ley igual o superior a 900 milésimas.</w:t>
      </w:r>
    </w:p>
    <w:p w:rsidR="00024EE4" w:rsidRDefault="00024EE4" w:rsidP="002E79CF">
      <w:pPr>
        <w:pStyle w:val="Prrafodelista"/>
        <w:numPr>
          <w:ilvl w:val="0"/>
          <w:numId w:val="24"/>
        </w:numPr>
      </w:pPr>
      <w:r>
        <w:t>Que hayan sido acuñadas con posterioridad al año 1800.</w:t>
      </w:r>
    </w:p>
    <w:p w:rsidR="00024EE4" w:rsidRDefault="00024EE4" w:rsidP="002E79CF">
      <w:pPr>
        <w:pStyle w:val="Prrafodelista"/>
        <w:numPr>
          <w:ilvl w:val="0"/>
          <w:numId w:val="24"/>
        </w:numPr>
      </w:pPr>
      <w:r>
        <w:t>Que sean o hayan sido moneda de curso legal en su país de origen.</w:t>
      </w:r>
    </w:p>
    <w:p w:rsidR="00CD7E00" w:rsidRDefault="00024EE4" w:rsidP="00D30015">
      <w:pPr>
        <w:pStyle w:val="Prrafodelista"/>
        <w:numPr>
          <w:ilvl w:val="0"/>
          <w:numId w:val="24"/>
        </w:numPr>
      </w:pPr>
      <w:r>
        <w:t>Que sean comercializadas habitualmente por un precio no superior en un 80 por 100 al valor de mercado del oro contenido en ellas.</w:t>
      </w:r>
    </w:p>
    <w:p w:rsidR="00024EE4" w:rsidRDefault="00024EE4" w:rsidP="00D30015">
      <w:pPr>
        <w:pStyle w:val="parrafo"/>
        <w:numPr>
          <w:ilvl w:val="2"/>
          <w:numId w:val="23"/>
        </w:numPr>
      </w:pPr>
      <w:r>
        <w:t>Exenciones y renuncia a la exención.</w:t>
      </w:r>
    </w:p>
    <w:p w:rsidR="00D30015" w:rsidRDefault="00D30015" w:rsidP="00D30015">
      <w:pPr>
        <w:pStyle w:val="parrafo"/>
        <w:ind w:left="1080"/>
      </w:pPr>
      <w:r>
        <w:t>Estarán exentas:</w:t>
      </w:r>
    </w:p>
    <w:p w:rsidR="00024EE4" w:rsidRDefault="00E51944" w:rsidP="00E51944">
      <w:pPr>
        <w:pStyle w:val="Prrafodelista"/>
        <w:numPr>
          <w:ilvl w:val="0"/>
          <w:numId w:val="15"/>
        </w:numPr>
      </w:pPr>
      <w:r>
        <w:t>Las entregas, a</w:t>
      </w:r>
      <w:r w:rsidR="00D30015">
        <w:t xml:space="preserve">dquisiciones intracomunitarias </w:t>
      </w:r>
      <w:r>
        <w:t>e importaciones de oro de inversión.</w:t>
      </w:r>
    </w:p>
    <w:p w:rsidR="00E51944" w:rsidRDefault="00E51944" w:rsidP="00E51944">
      <w:pPr>
        <w:pStyle w:val="Prrafodelista"/>
      </w:pPr>
      <w:r>
        <w:t>Esta exención podrá ser objeto de renuncia (140.ter.1) por el transmitente cuando se cumpla:</w:t>
      </w:r>
    </w:p>
    <w:p w:rsidR="00E51944" w:rsidRDefault="00E51944" w:rsidP="00E51944">
      <w:pPr>
        <w:pStyle w:val="Prrafodelista"/>
        <w:numPr>
          <w:ilvl w:val="0"/>
          <w:numId w:val="16"/>
        </w:numPr>
      </w:pPr>
      <w:r>
        <w:t>Que el transmitente se dedique con habitualidad a la realización de actividades de producción de oro de inversión o de transformación de oro que no sea de inversión en oro de inversión y siempre que la entrega tenga por objeto oro de inversión resultante de las actividades citadas.</w:t>
      </w:r>
    </w:p>
    <w:p w:rsidR="00E51944" w:rsidRDefault="00E51944" w:rsidP="00E51944">
      <w:pPr>
        <w:pStyle w:val="Prrafodelista"/>
        <w:numPr>
          <w:ilvl w:val="0"/>
          <w:numId w:val="16"/>
        </w:numPr>
      </w:pPr>
      <w:r>
        <w:t>Que el adquirente sea un empresario o profesional que actúe en el ejercicio de sus actividades empresariales o profesionales.</w:t>
      </w:r>
    </w:p>
    <w:p w:rsidR="00E51944" w:rsidRDefault="00E51944" w:rsidP="00E51944">
      <w:pPr>
        <w:pStyle w:val="Prrafodelista"/>
        <w:numPr>
          <w:ilvl w:val="0"/>
          <w:numId w:val="15"/>
        </w:numPr>
      </w:pPr>
      <w:r>
        <w:t>Los servicios de mediación en las operaciones exentas según el artícu</w:t>
      </w:r>
      <w:r w:rsidR="00D30015">
        <w:t xml:space="preserve">lo 1 </w:t>
      </w:r>
      <w:r>
        <w:t>anterior, prestados en nombre y por cuenta ajena.</w:t>
      </w:r>
    </w:p>
    <w:p w:rsidR="00E51944" w:rsidRDefault="002E79CF" w:rsidP="00E51944">
      <w:r>
        <w:t>2.4.3 D</w:t>
      </w:r>
      <w:r w:rsidR="00E51944">
        <w:t>educciones</w:t>
      </w:r>
    </w:p>
    <w:p w:rsidR="00E51944" w:rsidRDefault="00E51944" w:rsidP="00E51944">
      <w:r>
        <w:t>No serán deducibles las cuotas soportadas en la adquisición de bienes o servicios que se utilicen  en la realización de entregas de oro de inversión exentas.</w:t>
      </w:r>
    </w:p>
    <w:p w:rsidR="00E51944" w:rsidRDefault="00E51944" w:rsidP="00E51944">
      <w:r>
        <w:t>Serán deducibles las cuotas:</w:t>
      </w:r>
    </w:p>
    <w:p w:rsidR="00E51944" w:rsidRDefault="00E51944" w:rsidP="00E51944">
      <w:pPr>
        <w:pStyle w:val="Prrafodelista"/>
        <w:numPr>
          <w:ilvl w:val="0"/>
          <w:numId w:val="17"/>
        </w:numPr>
      </w:pPr>
      <w:r>
        <w:t>Soportadas por la adquisición de ese oro cuando el proveedor del mismo haya efectuado la renuncia a la exención.</w:t>
      </w:r>
    </w:p>
    <w:p w:rsidR="00E51944" w:rsidRDefault="002E79CF" w:rsidP="00E51944">
      <w:pPr>
        <w:pStyle w:val="Prrafodelista"/>
        <w:numPr>
          <w:ilvl w:val="0"/>
          <w:numId w:val="17"/>
        </w:numPr>
      </w:pPr>
      <w:r>
        <w:t>Las soportadas</w:t>
      </w:r>
      <w:r w:rsidR="00E51944">
        <w:t xml:space="preserve"> por la adquisición de ese oro, cuando al adquirirlo no reunía los requisitos para ser considerado como oro de inversión, habiendo sido transformado el oro</w:t>
      </w:r>
      <w:r w:rsidR="00D30015">
        <w:t xml:space="preserve"> de inversión por quien efectúa</w:t>
      </w:r>
      <w:r w:rsidR="00E51944">
        <w:t xml:space="preserve"> la entrega exenta.</w:t>
      </w:r>
    </w:p>
    <w:p w:rsidR="00E51944" w:rsidRDefault="00E51944" w:rsidP="00E51944">
      <w:pPr>
        <w:pStyle w:val="Prrafodelista"/>
        <w:numPr>
          <w:ilvl w:val="0"/>
          <w:numId w:val="17"/>
        </w:numPr>
      </w:pPr>
      <w:r>
        <w:t>Las soportadas por los servicios que consistan en</w:t>
      </w:r>
      <w:r w:rsidR="00D30015">
        <w:t xml:space="preserve"> cambio de forma, de peso o de ley.</w:t>
      </w:r>
    </w:p>
    <w:p w:rsidR="00E51944" w:rsidRDefault="002E79CF" w:rsidP="00E51944">
      <w:r>
        <w:t>2.4.4 S</w:t>
      </w:r>
      <w:r w:rsidR="00E51944">
        <w:t>ujeto pasivo</w:t>
      </w:r>
    </w:p>
    <w:p w:rsidR="00E51944" w:rsidRDefault="002E79CF" w:rsidP="00E51944">
      <w:r>
        <w:t>Será sujeto pasivo</w:t>
      </w:r>
      <w:r w:rsidR="00D30015">
        <w:t>, en caso de renuncia a la exención,</w:t>
      </w:r>
      <w:r>
        <w:t xml:space="preserve"> </w:t>
      </w:r>
      <w:r w:rsidR="00DF3481">
        <w:t xml:space="preserve">el empresario o profesional para quien se </w:t>
      </w:r>
      <w:r w:rsidR="00D30015">
        <w:t>efectúe</w:t>
      </w:r>
      <w:r w:rsidR="00DF3481">
        <w:t xml:space="preserve"> la operación gravada.</w:t>
      </w:r>
    </w:p>
    <w:p w:rsidR="00DF3481" w:rsidRDefault="00DF3481" w:rsidP="00E51944">
      <w:r>
        <w:t xml:space="preserve">2.4.5 </w:t>
      </w:r>
      <w:r w:rsidR="002E79CF">
        <w:t>O</w:t>
      </w:r>
      <w:r>
        <w:t>bligaciones</w:t>
      </w:r>
    </w:p>
    <w:p w:rsidR="00DF3481" w:rsidRDefault="00DF3481" w:rsidP="00E51944">
      <w:r>
        <w:t>Los sujetos pasivos deberán conservar copias de las facturas correspondientes a las operaciones de oro de inversión durante cinco años.</w:t>
      </w:r>
    </w:p>
    <w:p w:rsidR="00DF3481" w:rsidRDefault="00DF3481" w:rsidP="00E51944">
      <w:r>
        <w:t>2.5 RÉGIMEN ESPECIAL DE LAS AGENCIAS DE VIAJES</w:t>
      </w:r>
    </w:p>
    <w:p w:rsidR="00DF3481" w:rsidRDefault="00DF3481" w:rsidP="00E51944">
      <w:r>
        <w:t>Regulado en los artículos 141 A 147 de la ley y en el reglamento.</w:t>
      </w:r>
    </w:p>
    <w:p w:rsidR="009A7DAC" w:rsidRDefault="009A7DAC" w:rsidP="00E51944">
      <w:r>
        <w:t>2.5.1 Ámbito de aplicación</w:t>
      </w:r>
    </w:p>
    <w:p w:rsidR="009A7DAC" w:rsidRDefault="009A7DAC" w:rsidP="00E51944">
      <w:r>
        <w:lastRenderedPageBreak/>
        <w:t>Es aplicable a las siguientes operaciones:</w:t>
      </w:r>
    </w:p>
    <w:p w:rsidR="009A7DAC" w:rsidRDefault="009A7DAC" w:rsidP="009A7DAC">
      <w:pPr>
        <w:pStyle w:val="Prrafodelista"/>
        <w:numPr>
          <w:ilvl w:val="0"/>
          <w:numId w:val="18"/>
        </w:numPr>
      </w:pPr>
      <w:r>
        <w:t>Las realizadas por las agencias de viajes</w:t>
      </w:r>
      <w:r w:rsidR="00842E5D">
        <w:t xml:space="preserve"> que actúen en nombre propio respecto de los viajeros,</w:t>
      </w:r>
      <w:r>
        <w:t xml:space="preserve"> y </w:t>
      </w:r>
      <w:r w:rsidR="002E79CF">
        <w:t>utilicen en la realización del viaje</w:t>
      </w:r>
      <w:r w:rsidR="00842E5D">
        <w:t>,</w:t>
      </w:r>
      <w:r>
        <w:t xml:space="preserve"> bienes entregados o servicios prestados por otros empresarios o profesionales.</w:t>
      </w:r>
    </w:p>
    <w:p w:rsidR="009A7DAC" w:rsidRDefault="009A7DAC" w:rsidP="009A7DAC">
      <w:pPr>
        <w:pStyle w:val="Prrafodelista"/>
        <w:numPr>
          <w:ilvl w:val="0"/>
          <w:numId w:val="18"/>
        </w:numPr>
      </w:pPr>
      <w:r>
        <w:t>Las realizadas por los organizadores de circuitos turísticos cuando concurran las circunstancias anteriores.</w:t>
      </w:r>
    </w:p>
    <w:p w:rsidR="009A7DAC" w:rsidRDefault="009A7DAC" w:rsidP="009A7DAC">
      <w:r>
        <w:t>No será de aplicación esté régimen a las operaciones llevadas a cabo utilizando medios de hostelería o de transporte propios.</w:t>
      </w:r>
    </w:p>
    <w:p w:rsidR="00CD7E00" w:rsidRDefault="009A7DAC" w:rsidP="009A7DAC">
      <w:r>
        <w:t>Es de carácter obligatorio</w:t>
      </w:r>
      <w:r w:rsidR="002E79CF">
        <w:t>,</w:t>
      </w:r>
      <w:r>
        <w:t xml:space="preserve"> no </w:t>
      </w:r>
      <w:proofErr w:type="gramStart"/>
      <w:r>
        <w:t>obstante</w:t>
      </w:r>
      <w:proofErr w:type="gramEnd"/>
      <w:r>
        <w:t xml:space="preserve"> se podrá optar por la aplicación del régimen General del</w:t>
      </w:r>
      <w:r w:rsidR="002E79CF">
        <w:t xml:space="preserve"> </w:t>
      </w:r>
      <w:r>
        <w:t>IVA, renunciando a este régimen especial.</w:t>
      </w:r>
    </w:p>
    <w:p w:rsidR="009A7DAC" w:rsidRDefault="009A7DAC" w:rsidP="009A7DAC">
      <w:r>
        <w:t>2.5.2 Contenido</w:t>
      </w:r>
    </w:p>
    <w:p w:rsidR="009A7DAC" w:rsidRDefault="009A7DAC" w:rsidP="009A7DAC">
      <w:pPr>
        <w:pStyle w:val="Prrafodelista"/>
        <w:numPr>
          <w:ilvl w:val="0"/>
          <w:numId w:val="19"/>
        </w:numPr>
      </w:pPr>
      <w:r>
        <w:t>Se benefician de exención absoluta</w:t>
      </w:r>
      <w:r w:rsidR="00842E5D">
        <w:t>,</w:t>
      </w:r>
      <w:r>
        <w:t xml:space="preserve"> pudiendo deducir el </w:t>
      </w:r>
      <w:r w:rsidR="002E79CF">
        <w:t>IVA</w:t>
      </w:r>
      <w:r>
        <w:t xml:space="preserve"> soportado, los servicios prestados cuando las entregas de bienes o prestaciones de servicios adquiridos en beneficio del viajero, se realicen fuera de la comunidad.</w:t>
      </w:r>
    </w:p>
    <w:p w:rsidR="009A7DAC" w:rsidRDefault="009A7DAC" w:rsidP="009A7DAC">
      <w:pPr>
        <w:pStyle w:val="Prrafodelista"/>
        <w:numPr>
          <w:ilvl w:val="0"/>
          <w:numId w:val="19"/>
        </w:numPr>
      </w:pPr>
      <w:r>
        <w:t>La base imponible estará constituida po</w:t>
      </w:r>
      <w:r w:rsidR="00842E5D">
        <w:t>r el margen bruto de la agencia (es</w:t>
      </w:r>
      <w:r w:rsidR="007314DA">
        <w:t xml:space="preserve"> decir la cantidad total cargada al</w:t>
      </w:r>
      <w:r w:rsidR="00842E5D">
        <w:t xml:space="preserve"> cliente, excluido el IVA menos el importe impuestos incluidos de los bienes y servicios destinados a la realización del viaje)</w:t>
      </w:r>
    </w:p>
    <w:p w:rsidR="009A7DAC" w:rsidRDefault="009A7DAC" w:rsidP="009A7DAC">
      <w:pPr>
        <w:pStyle w:val="Prrafodelista"/>
        <w:numPr>
          <w:ilvl w:val="0"/>
          <w:numId w:val="19"/>
        </w:numPr>
      </w:pPr>
      <w:r>
        <w:t>No será deducible el impuesto soportado en las adquisiciones de bienes y servicios que redunden directamente en beneficio del viajero.</w:t>
      </w:r>
    </w:p>
    <w:p w:rsidR="009A7DAC" w:rsidRDefault="009A7DAC" w:rsidP="009A7DAC">
      <w:pPr>
        <w:pStyle w:val="Prrafodelista"/>
        <w:numPr>
          <w:ilvl w:val="0"/>
          <w:numId w:val="19"/>
        </w:numPr>
      </w:pPr>
      <w:r>
        <w:t>Los sujetos pasivos deberán anotar en el libro de facturas recibidas, las adquisiciones de bienes o servicios efectuadas directamente el interés del viajero.</w:t>
      </w:r>
    </w:p>
    <w:p w:rsidR="009A7DAC" w:rsidRDefault="009A7DAC" w:rsidP="009A7DAC">
      <w:r>
        <w:t>2.6 RÉGIMEN ESPECIAL DEL RECARGO DE EQUIVALENCIA</w:t>
      </w:r>
    </w:p>
    <w:p w:rsidR="009A7DAC" w:rsidRDefault="009A7DAC" w:rsidP="009A7DAC">
      <w:r>
        <w:t>Regulado en los artículos 148 a 163 de la ley. Se aplicará con carácter obligatorio.</w:t>
      </w:r>
    </w:p>
    <w:p w:rsidR="009A7DAC" w:rsidRDefault="009A7DAC" w:rsidP="009A7DAC">
      <w:r>
        <w:t>2.6.1 Ámbito de aplicación</w:t>
      </w:r>
    </w:p>
    <w:p w:rsidR="009A7DAC" w:rsidRDefault="009A7DAC" w:rsidP="009A7DAC">
      <w:r>
        <w:t>Es aplicable a los comerciantes minoristas que sean personas físicas o entidades en régimen de atribución de rentas en el IRPF que desarrollen su actividad en los sectores econ</w:t>
      </w:r>
      <w:r w:rsidR="007314DA">
        <w:t>ómicos y cumplan con los requisitos que se determinen reglamentariamente.</w:t>
      </w:r>
    </w:p>
    <w:p w:rsidR="009A7DAC" w:rsidRDefault="009A7DAC" w:rsidP="009A7DAC">
      <w:r>
        <w:t>Se considerarán comercia</w:t>
      </w:r>
      <w:r w:rsidR="007314DA">
        <w:t>ntes minoristas cuando</w:t>
      </w:r>
      <w:r>
        <w:t>:</w:t>
      </w:r>
    </w:p>
    <w:p w:rsidR="009A7DAC" w:rsidRDefault="007314DA" w:rsidP="009A7DAC">
      <w:pPr>
        <w:pStyle w:val="Prrafodelista"/>
        <w:numPr>
          <w:ilvl w:val="0"/>
          <w:numId w:val="20"/>
        </w:numPr>
      </w:pPr>
      <w:r>
        <w:t>Realizan</w:t>
      </w:r>
      <w:r w:rsidR="009A7DAC">
        <w:t xml:space="preserve"> habitualmente entregas de bienes o semovientes sin haberlo</w:t>
      </w:r>
      <w:r>
        <w:t xml:space="preserve">s </w:t>
      </w:r>
      <w:r w:rsidR="009A7DAC">
        <w:t>sometido a procesos de fabricación.</w:t>
      </w:r>
    </w:p>
    <w:p w:rsidR="009A7DAC" w:rsidRDefault="007314DA" w:rsidP="009A7DAC">
      <w:pPr>
        <w:pStyle w:val="Prrafodelista"/>
        <w:numPr>
          <w:ilvl w:val="0"/>
          <w:numId w:val="20"/>
        </w:numPr>
      </w:pPr>
      <w:r>
        <w:t>L</w:t>
      </w:r>
      <w:r w:rsidR="006D224A">
        <w:t>a suma de las contraprestaciones correspondientes a las entregas a la seguridad social</w:t>
      </w:r>
      <w:r>
        <w:t>,</w:t>
      </w:r>
      <w:r w:rsidR="006D224A">
        <w:t xml:space="preserve"> o a quienes no tengan la consideración de empresario o profesional, durante el año anterior, hubiese excedido del 80 por ciento del total de las entregas.</w:t>
      </w:r>
    </w:p>
    <w:p w:rsidR="006D224A" w:rsidRDefault="006D224A" w:rsidP="006D224A">
      <w:r>
        <w:t>Los aplicará este régime</w:t>
      </w:r>
      <w:r w:rsidR="002E79CF">
        <w:t xml:space="preserve">n a los productos establecidos </w:t>
      </w:r>
      <w:r>
        <w:t>reglamentariamente, entre otros, vehículos, embarcaciones y aeronaves, joyas alhajas y piedras preciosas o la maquinaria de uso industrial.</w:t>
      </w:r>
    </w:p>
    <w:p w:rsidR="006D224A" w:rsidRDefault="006D224A" w:rsidP="006D224A">
      <w:r>
        <w:t>2.6.2 Contenido</w:t>
      </w:r>
    </w:p>
    <w:p w:rsidR="006D224A" w:rsidRDefault="006D224A" w:rsidP="006D224A">
      <w:pPr>
        <w:pStyle w:val="Prrafodelista"/>
        <w:numPr>
          <w:ilvl w:val="0"/>
          <w:numId w:val="21"/>
        </w:numPr>
      </w:pPr>
      <w:r>
        <w:t>Los sujetos pasivos sometidos a él no estarán obligados a efectuar la liquidació</w:t>
      </w:r>
      <w:r w:rsidR="002E79CF">
        <w:t>n ni el pago del impuesto a la H</w:t>
      </w:r>
      <w:r>
        <w:t xml:space="preserve">acienda pública en relación con las operaciones comerciales </w:t>
      </w:r>
      <w:r w:rsidR="0025573E">
        <w:t xml:space="preserve">a las </w:t>
      </w:r>
      <w:r>
        <w:t>que resulte aplicable este régimen especial, con la única exclusión de las entregas de bienes inmuebl</w:t>
      </w:r>
      <w:r w:rsidR="002E79CF">
        <w:t>es sujeto</w:t>
      </w:r>
      <w:r>
        <w:t>s y no exentos.</w:t>
      </w:r>
    </w:p>
    <w:p w:rsidR="006D224A" w:rsidRDefault="006D224A" w:rsidP="006D224A">
      <w:pPr>
        <w:pStyle w:val="Prrafodelista"/>
        <w:numPr>
          <w:ilvl w:val="0"/>
          <w:numId w:val="21"/>
        </w:numPr>
      </w:pPr>
      <w:r>
        <w:t xml:space="preserve">No podrán deducir las cuotas soportadas por las adquisiciones o importaciones de bienes o por los servicios que les hayan sido prestados cuando dichos bienes o servicios se utilicen en la realización de las actividades </w:t>
      </w:r>
      <w:r w:rsidR="0025573E">
        <w:t xml:space="preserve">a las </w:t>
      </w:r>
      <w:r>
        <w:t>que afecte e</w:t>
      </w:r>
      <w:r w:rsidR="002E79CF">
        <w:t>ste régimen</w:t>
      </w:r>
      <w:r>
        <w:t xml:space="preserve"> especial.</w:t>
      </w:r>
    </w:p>
    <w:p w:rsidR="006D224A" w:rsidRDefault="006D224A" w:rsidP="006D224A">
      <w:pPr>
        <w:pStyle w:val="Prrafodelista"/>
        <w:numPr>
          <w:ilvl w:val="0"/>
          <w:numId w:val="21"/>
        </w:numPr>
      </w:pPr>
      <w:r>
        <w:lastRenderedPageBreak/>
        <w:t xml:space="preserve">La </w:t>
      </w:r>
      <w:r w:rsidR="002E79CF">
        <w:t>exacción</w:t>
      </w:r>
      <w:r>
        <w:t xml:space="preserve"> del </w:t>
      </w:r>
      <w:r w:rsidR="002E79CF">
        <w:t>IVA</w:t>
      </w:r>
      <w:r>
        <w:t xml:space="preserve"> exigible a los comerciantes minoristas</w:t>
      </w:r>
      <w:r w:rsidR="002E79CF">
        <w:t xml:space="preserve"> a</w:t>
      </w:r>
      <w:r>
        <w:t xml:space="preserve"> quienes resulta aplicable este régimen especial se efectuará mediante la repercusión del recargo de equivalencia efectuado por sus proveedores.</w:t>
      </w:r>
    </w:p>
    <w:p w:rsidR="006D224A" w:rsidRDefault="006D224A" w:rsidP="006D224A">
      <w:pPr>
        <w:pStyle w:val="Prrafodelista"/>
        <w:numPr>
          <w:ilvl w:val="0"/>
          <w:numId w:val="21"/>
        </w:numPr>
      </w:pPr>
      <w:r>
        <w:t>Los comerciantes están obligados a autoliquida</w:t>
      </w:r>
      <w:r w:rsidR="002E79CF">
        <w:t>r</w:t>
      </w:r>
      <w:r>
        <w:t xml:space="preserve"> y pagar el recargo de </w:t>
      </w:r>
      <w:r w:rsidR="002E79CF">
        <w:t>equivalencia</w:t>
      </w:r>
      <w:r>
        <w:t xml:space="preserve"> en las adquisiciones intracomunitarias de bienes e importaciones y en los supuestos de inversión del sujeto pasivo.</w:t>
      </w:r>
    </w:p>
    <w:p w:rsidR="006D224A" w:rsidRDefault="006D224A" w:rsidP="006D224A">
      <w:pPr>
        <w:pStyle w:val="Prrafodelista"/>
        <w:numPr>
          <w:ilvl w:val="0"/>
          <w:numId w:val="21"/>
        </w:numPr>
      </w:pPr>
      <w:r>
        <w:t>Los comerciantes minoristas sometidos a este régimen repercutirán a sus clientes la cuota resultante de aplicar el tipo tributario del impuesto a la base imponible.</w:t>
      </w:r>
    </w:p>
    <w:p w:rsidR="006D224A" w:rsidRDefault="006D224A" w:rsidP="006D224A">
      <w:pPr>
        <w:pStyle w:val="Prrafodelista"/>
        <w:numPr>
          <w:ilvl w:val="0"/>
          <w:numId w:val="21"/>
        </w:numPr>
      </w:pPr>
      <w:r>
        <w:t xml:space="preserve">La base imponible del recargo de equivalencia </w:t>
      </w:r>
      <w:r w:rsidR="004D5C5E">
        <w:t xml:space="preserve">será la misma que resulte para </w:t>
      </w:r>
      <w:r>
        <w:t>el</w:t>
      </w:r>
      <w:r w:rsidR="004D5C5E">
        <w:t xml:space="preserve"> </w:t>
      </w:r>
      <w:r>
        <w:t>IVA.</w:t>
      </w:r>
    </w:p>
    <w:p w:rsidR="006D224A" w:rsidRDefault="00AC79FD" w:rsidP="006D224A">
      <w:pPr>
        <w:pStyle w:val="Prrafodelista"/>
        <w:numPr>
          <w:ilvl w:val="0"/>
          <w:numId w:val="21"/>
        </w:numPr>
      </w:pPr>
      <w:r>
        <w:t xml:space="preserve">Los tipos tributarios </w:t>
      </w:r>
      <w:r w:rsidR="0025573E">
        <w:t xml:space="preserve">del recargo de equivalencia </w:t>
      </w:r>
      <w:r>
        <w:t>son:</w:t>
      </w:r>
    </w:p>
    <w:p w:rsidR="00AC79FD" w:rsidRDefault="00AC79FD" w:rsidP="004D5C5E">
      <w:pPr>
        <w:pStyle w:val="Prrafodelista"/>
        <w:numPr>
          <w:ilvl w:val="1"/>
          <w:numId w:val="21"/>
        </w:numPr>
        <w:spacing w:line="240" w:lineRule="auto"/>
      </w:pPr>
      <w:r>
        <w:t>Co</w:t>
      </w:r>
      <w:r w:rsidR="004D5C5E">
        <w:t>n carácter General 5,</w:t>
      </w:r>
      <w:r>
        <w:t>2 por ciento</w:t>
      </w:r>
      <w:r w:rsidR="004D5C5E">
        <w:t>.</w:t>
      </w:r>
    </w:p>
    <w:p w:rsidR="00AC79FD" w:rsidRDefault="00AC79FD" w:rsidP="004D5C5E">
      <w:pPr>
        <w:pStyle w:val="Prrafodelista"/>
        <w:numPr>
          <w:ilvl w:val="1"/>
          <w:numId w:val="21"/>
        </w:numPr>
        <w:spacing w:line="240" w:lineRule="auto"/>
      </w:pPr>
      <w:r>
        <w:t xml:space="preserve">A las </w:t>
      </w:r>
      <w:r w:rsidR="0025573E">
        <w:t xml:space="preserve">entregas </w:t>
      </w:r>
      <w:r>
        <w:t>que sea de aplicación el tipo reducido del 10 por ciento, el</w:t>
      </w:r>
      <w:r w:rsidR="004D5C5E">
        <w:t xml:space="preserve"> recargo de equivalencia será 1,</w:t>
      </w:r>
      <w:r>
        <w:t>41 por ciento</w:t>
      </w:r>
      <w:r w:rsidR="004D5C5E">
        <w:t>.</w:t>
      </w:r>
    </w:p>
    <w:p w:rsidR="00AC79FD" w:rsidRDefault="00AC79FD" w:rsidP="00AC79FD">
      <w:pPr>
        <w:pStyle w:val="Prrafodelista"/>
        <w:numPr>
          <w:ilvl w:val="1"/>
          <w:numId w:val="21"/>
        </w:numPr>
        <w:spacing w:line="240" w:lineRule="auto"/>
      </w:pPr>
      <w:r>
        <w:t>Para las</w:t>
      </w:r>
      <w:r w:rsidR="0025573E">
        <w:t xml:space="preserve"> entregas</w:t>
      </w:r>
      <w:r>
        <w:t xml:space="preserve"> que sea aplicable el tipo reducido del 4 por ciento, el</w:t>
      </w:r>
      <w:r w:rsidR="004D5C5E">
        <w:t xml:space="preserve"> recargo de equivalencia será 0,</w:t>
      </w:r>
      <w:r>
        <w:t>5 por ciento</w:t>
      </w:r>
      <w:r w:rsidR="004D5C5E">
        <w:t>.</w:t>
      </w:r>
    </w:p>
    <w:p w:rsidR="00AC79FD" w:rsidRDefault="00AC79FD" w:rsidP="00AC79FD">
      <w:pPr>
        <w:pStyle w:val="Prrafodelista"/>
        <w:numPr>
          <w:ilvl w:val="1"/>
          <w:numId w:val="21"/>
        </w:numPr>
        <w:spacing w:line="240" w:lineRule="auto"/>
      </w:pPr>
      <w:r>
        <w:t xml:space="preserve">Para las entregas de bienes </w:t>
      </w:r>
      <w:r w:rsidR="0025573E">
        <w:t xml:space="preserve">objeto del impuesto especial </w:t>
      </w:r>
      <w:r>
        <w:t>sobre las labores del tabaco, el 1,75 por ciento.</w:t>
      </w:r>
    </w:p>
    <w:p w:rsidR="00AC79FD" w:rsidRDefault="00AC79FD" w:rsidP="00AC79FD">
      <w:pPr>
        <w:pStyle w:val="Prrafodelista"/>
        <w:numPr>
          <w:ilvl w:val="0"/>
          <w:numId w:val="21"/>
        </w:numPr>
        <w:spacing w:line="240" w:lineRule="auto"/>
      </w:pPr>
      <w:r>
        <w:t>A las que sea aplicable este régimen no estarán obligados a llevar registros contables en relación con el IVA.</w:t>
      </w:r>
    </w:p>
    <w:p w:rsidR="00AC79FD" w:rsidRDefault="00AC79FD" w:rsidP="00AC79FD">
      <w:pPr>
        <w:pStyle w:val="Prrafodelista"/>
        <w:numPr>
          <w:ilvl w:val="0"/>
          <w:numId w:val="21"/>
        </w:numPr>
        <w:spacing w:line="240" w:lineRule="auto"/>
      </w:pPr>
      <w:r>
        <w:t>Los sujetos pasivos deberán presentar declaraciones-liquidaciones por el impuesto cuando:</w:t>
      </w:r>
    </w:p>
    <w:p w:rsidR="00AC79FD" w:rsidRDefault="00AC79FD" w:rsidP="00AC79FD">
      <w:pPr>
        <w:pStyle w:val="Prrafodelista"/>
        <w:numPr>
          <w:ilvl w:val="1"/>
          <w:numId w:val="21"/>
        </w:numPr>
        <w:spacing w:line="240" w:lineRule="auto"/>
      </w:pPr>
      <w:r>
        <w:t>Realicen adquisiciones intracomunitarias de bienes.</w:t>
      </w:r>
    </w:p>
    <w:p w:rsidR="00AC79FD" w:rsidRDefault="004D5C5E" w:rsidP="00AC79FD">
      <w:pPr>
        <w:pStyle w:val="Prrafodelista"/>
        <w:numPr>
          <w:ilvl w:val="1"/>
          <w:numId w:val="21"/>
        </w:numPr>
        <w:spacing w:line="240" w:lineRule="auto"/>
      </w:pPr>
      <w:r>
        <w:t>Recib</w:t>
      </w:r>
      <w:r w:rsidR="00AC79FD">
        <w:t>an servicios relativos a los bienes comprendidos en este régimen, prestados por empresarios no establecidos en el TAI.</w:t>
      </w:r>
    </w:p>
    <w:p w:rsidR="00AC79FD" w:rsidRDefault="00AC79FD" w:rsidP="00AC79FD">
      <w:pPr>
        <w:pStyle w:val="Prrafodelista"/>
        <w:numPr>
          <w:ilvl w:val="1"/>
          <w:numId w:val="21"/>
        </w:numPr>
        <w:spacing w:line="240" w:lineRule="auto"/>
      </w:pPr>
      <w:r>
        <w:t>Cuando realicen entregas de bienes a viajeros con derecho a la devolución del impuesto.</w:t>
      </w:r>
    </w:p>
    <w:p w:rsidR="00AC79FD" w:rsidRDefault="00AC79FD" w:rsidP="00AC79FD">
      <w:pPr>
        <w:spacing w:line="240" w:lineRule="auto"/>
      </w:pPr>
      <w:r>
        <w:t>2.7 REGÍMENES ESPECIALES APLICABLES A LOS SERVICIOS DE TELECOMUNICACIONES, DE RADIODIFUSCIÓN O DE TELEVISIÓN Y A LOS SERVICIOS PRESTADO</w:t>
      </w:r>
      <w:r w:rsidR="004D5C5E">
        <w:t>S</w:t>
      </w:r>
      <w:r>
        <w:t xml:space="preserve"> POR VÍA ELECTRÓNICA</w:t>
      </w:r>
    </w:p>
    <w:p w:rsidR="00AC79FD" w:rsidRDefault="00AC79FD" w:rsidP="00AC79FD">
      <w:pPr>
        <w:spacing w:line="240" w:lineRule="auto"/>
      </w:pPr>
      <w:r>
        <w:t xml:space="preserve">La ley 28/2014 </w:t>
      </w:r>
      <w:r w:rsidR="004D5C5E">
        <w:t>ha introducido</w:t>
      </w:r>
      <w:r w:rsidR="00C82EAF">
        <w:t xml:space="preserve"> regímenes de carácter opcional aplicables a los citados servicios prestados a particulares. Regulado</w:t>
      </w:r>
      <w:r w:rsidR="00180347">
        <w:t>s en los artículos 163 septiesdecies</w:t>
      </w:r>
      <w:r w:rsidR="00C82EAF">
        <w:t xml:space="preserve"> a 163 </w:t>
      </w:r>
      <w:r w:rsidR="00180347">
        <w:t>quaterdicies</w:t>
      </w:r>
      <w:r w:rsidR="00C82EAF">
        <w:t>.</w:t>
      </w:r>
    </w:p>
    <w:p w:rsidR="00C82EAF" w:rsidRDefault="00C82EAF" w:rsidP="00AC79FD">
      <w:pPr>
        <w:spacing w:line="240" w:lineRule="auto"/>
      </w:pPr>
      <w:r>
        <w:t xml:space="preserve">Se establecen dos regímenes especiales en función de </w:t>
      </w:r>
      <w:r w:rsidR="004D5C5E">
        <w:t xml:space="preserve">que </w:t>
      </w:r>
      <w:r>
        <w:t>los citados servic</w:t>
      </w:r>
      <w:r w:rsidR="004D5C5E">
        <w:t>ios se</w:t>
      </w:r>
      <w:r>
        <w:t xml:space="preserve"> prest</w:t>
      </w:r>
      <w:r w:rsidR="004D5C5E">
        <w:t>e</w:t>
      </w:r>
      <w:r>
        <w:t>n por empresarios o profesionales no establecidos</w:t>
      </w:r>
      <w:r w:rsidR="004D5C5E">
        <w:t xml:space="preserve"> en la Comunidad o establecidos en la </w:t>
      </w:r>
      <w:r w:rsidR="00180347">
        <w:t>Comunidad,</w:t>
      </w:r>
      <w:r>
        <w:t xml:space="preserve"> </w:t>
      </w:r>
      <w:r w:rsidR="004D5C5E">
        <w:t>pero no</w:t>
      </w:r>
      <w:r>
        <w:t xml:space="preserve"> en el estado miembro de consumo.</w:t>
      </w:r>
    </w:p>
    <w:p w:rsidR="00C82EAF" w:rsidRDefault="004D5C5E" w:rsidP="00AC79FD">
      <w:pPr>
        <w:spacing w:line="240" w:lineRule="auto"/>
      </w:pPr>
      <w:r>
        <w:t>2.7.1 R</w:t>
      </w:r>
      <w:r w:rsidR="00C82EAF">
        <w:t>égimen especial aplicable a los servicios prestados por empresarios o profesionales no establecidos</w:t>
      </w:r>
      <w:r>
        <w:t xml:space="preserve"> en la C</w:t>
      </w:r>
      <w:r w:rsidR="00C82EAF">
        <w:t>omunidad</w:t>
      </w:r>
    </w:p>
    <w:p w:rsidR="00C82EAF" w:rsidRDefault="00C82EAF" w:rsidP="00AC79FD">
      <w:pPr>
        <w:spacing w:line="240" w:lineRule="auto"/>
      </w:pPr>
      <w:r>
        <w:t xml:space="preserve">La obligación de liquidación </w:t>
      </w:r>
      <w:r w:rsidR="00353E31">
        <w:t>del IVA adeudado</w:t>
      </w:r>
      <w:r>
        <w:t xml:space="preserve"> por estos servicios</w:t>
      </w:r>
      <w:r w:rsidR="00353E31">
        <w:t xml:space="preserve"> en todos los estados miembros</w:t>
      </w:r>
      <w:r>
        <w:t xml:space="preserve"> se puede realizar en el estado miembro en el que se identifiquen a través de un portal web. El estado miembro de identificación será elegido por el empresario. </w:t>
      </w:r>
    </w:p>
    <w:p w:rsidR="00C82EAF" w:rsidRDefault="004D5C5E" w:rsidP="00AC79FD">
      <w:pPr>
        <w:spacing w:line="240" w:lineRule="auto"/>
      </w:pPr>
      <w:r>
        <w:t>2.7.2 R</w:t>
      </w:r>
      <w:r w:rsidR="00C82EAF">
        <w:t>égimen especial aplicable a los servicios prestados por empresarios o pr</w:t>
      </w:r>
      <w:r>
        <w:t>ofesionales establecidos en la C</w:t>
      </w:r>
      <w:r w:rsidR="00C82EAF">
        <w:t>omunidad, pero no en el estado miembro de consumo.</w:t>
      </w:r>
    </w:p>
    <w:p w:rsidR="00C82EAF" w:rsidRDefault="00C82EAF" w:rsidP="00AC79FD">
      <w:pPr>
        <w:spacing w:line="240" w:lineRule="auto"/>
      </w:pPr>
      <w:r>
        <w:t>Toma como modelo el anterior, quedando excluidos los servicios prestados en el territorio de aplicación del</w:t>
      </w:r>
      <w:r w:rsidR="004D5C5E">
        <w:t xml:space="preserve"> </w:t>
      </w:r>
      <w:r>
        <w:t>IVA por empresarios o profesionales a los que resultará el régimen General del impuesto.</w:t>
      </w:r>
    </w:p>
    <w:p w:rsidR="00C82EAF" w:rsidRDefault="004D5C5E" w:rsidP="00AC79FD">
      <w:pPr>
        <w:spacing w:line="240" w:lineRule="auto"/>
      </w:pPr>
      <w:r>
        <w:t>El contenido de este régimen se sustancia</w:t>
      </w:r>
      <w:r w:rsidR="00C82EAF">
        <w:t xml:space="preserve"> en el sistema de ventanilla única, elig</w:t>
      </w:r>
      <w:r w:rsidR="00353E31">
        <w:t xml:space="preserve">iendo </w:t>
      </w:r>
      <w:r>
        <w:t>el estado miembro de la C</w:t>
      </w:r>
      <w:r w:rsidR="00C82EAF">
        <w:t>omunidad a la hora de presentar las declaraciones-liquidaciones e ingresar el importe del impuesto</w:t>
      </w:r>
      <w:r w:rsidR="00353E31">
        <w:t xml:space="preserve"> del resto de estados miembros de consumo</w:t>
      </w:r>
      <w:r w:rsidR="00C82EAF">
        <w:t xml:space="preserve">. El estado miembro de identificación ser aquel donde tengan </w:t>
      </w:r>
      <w:r w:rsidR="00353E31">
        <w:t>la sede de actividad económica o</w:t>
      </w:r>
      <w:r w:rsidR="00C82EAF">
        <w:t xml:space="preserve"> un establecimiento permanente.</w:t>
      </w:r>
    </w:p>
    <w:p w:rsidR="00C82EAF" w:rsidRDefault="00C82EAF" w:rsidP="00AC79FD">
      <w:pPr>
        <w:spacing w:line="240" w:lineRule="auto"/>
      </w:pPr>
      <w:r>
        <w:lastRenderedPageBreak/>
        <w:t>2.8 RÉGIMEN ESPECIAL DEL GRUPO DE ENTIDADES</w:t>
      </w:r>
    </w:p>
    <w:p w:rsidR="00C82EAF" w:rsidRDefault="00C82EAF" w:rsidP="00AC79FD">
      <w:pPr>
        <w:spacing w:line="240" w:lineRule="auto"/>
      </w:pPr>
      <w:r>
        <w:t>Este régimen ha sido introducido por la ley 36/2006 de medidas para la prevención del fraude</w:t>
      </w:r>
      <w:r w:rsidR="00353E31">
        <w:t xml:space="preserve"> fiscal y será de aplicación en</w:t>
      </w:r>
      <w:r>
        <w:t xml:space="preserve"> las operaciones cuyo </w:t>
      </w:r>
      <w:r w:rsidR="004D5C5E">
        <w:t>IVA</w:t>
      </w:r>
      <w:r>
        <w:t xml:space="preserve"> se devengue a partir del 1 enero 2008.</w:t>
      </w:r>
    </w:p>
    <w:p w:rsidR="00C82EAF" w:rsidRDefault="00C82EAF" w:rsidP="00AC79FD">
      <w:pPr>
        <w:spacing w:line="240" w:lineRule="auto"/>
      </w:pPr>
      <w:r>
        <w:t>Regulado en los artículos 163 quinquies a 163 nonies de la ley y en el reglamento.</w:t>
      </w:r>
    </w:p>
    <w:p w:rsidR="00C82EAF" w:rsidRDefault="004D5C5E" w:rsidP="00AC79FD">
      <w:pPr>
        <w:spacing w:line="240" w:lineRule="auto"/>
      </w:pPr>
      <w:r>
        <w:t>2.8.1 R</w:t>
      </w:r>
      <w:r w:rsidR="00C82EAF">
        <w:t>equisitos subjetivos y condiciones para su aplicación.</w:t>
      </w:r>
    </w:p>
    <w:p w:rsidR="00CD7E00" w:rsidRDefault="004D5C5E" w:rsidP="00AC79FD">
      <w:pPr>
        <w:spacing w:line="240" w:lineRule="auto"/>
      </w:pPr>
      <w:r>
        <w:t>Podrán aplicar</w:t>
      </w:r>
      <w:r w:rsidR="00C82EAF">
        <w:t>lo los sujetos pasivos que formen parte de un grupo de entidades, teniendo esta consideración el integrado por una entidad dominante (tengan control efectivo sobre las entidades del grupo de al menos el 50% en el capital) y sus entidades dependientes.</w:t>
      </w:r>
    </w:p>
    <w:p w:rsidR="00C82EAF" w:rsidRDefault="004D5C5E" w:rsidP="00AC79FD">
      <w:pPr>
        <w:spacing w:line="240" w:lineRule="auto"/>
      </w:pPr>
      <w:r>
        <w:t>2.8.2 C</w:t>
      </w:r>
      <w:r w:rsidR="00C82EAF">
        <w:t>ontenido</w:t>
      </w:r>
    </w:p>
    <w:p w:rsidR="00C82EAF" w:rsidRDefault="00C82EAF" w:rsidP="00AC79FD">
      <w:pPr>
        <w:spacing w:line="240" w:lineRule="auto"/>
      </w:pPr>
      <w:r>
        <w:t>Se pueden distinguir dos niveles de aplicación</w:t>
      </w:r>
    </w:p>
    <w:p w:rsidR="00C82EAF" w:rsidRDefault="004D5C5E" w:rsidP="00AC79FD">
      <w:pPr>
        <w:spacing w:line="240" w:lineRule="auto"/>
      </w:pPr>
      <w:r>
        <w:t>A) N</w:t>
      </w:r>
      <w:r w:rsidR="00C82EAF">
        <w:t>ivel básico</w:t>
      </w:r>
      <w:r w:rsidR="004726E6">
        <w:t>:</w:t>
      </w:r>
    </w:p>
    <w:p w:rsidR="004726E6" w:rsidRDefault="004726E6" w:rsidP="00AC79FD">
      <w:pPr>
        <w:spacing w:line="240" w:lineRule="auto"/>
      </w:pPr>
      <w:r>
        <w:t>Cada una de las entidades que integran el grupo presenta su autoliquidación individual mensual. Pos</w:t>
      </w:r>
      <w:r w:rsidR="004D5C5E">
        <w:t>teriormente, la entidad dimanante</w:t>
      </w:r>
      <w:r>
        <w:t xml:space="preserve"> presenta una </w:t>
      </w:r>
      <w:r w:rsidR="004D5C5E">
        <w:t>autoliquidación mensual agregada</w:t>
      </w:r>
      <w:r>
        <w:t xml:space="preserve"> del grupo de entidades que integran los resultados de las autoliquidaciones individuales</w:t>
      </w:r>
      <w:r w:rsidR="004D5C5E">
        <w:t>.</w:t>
      </w:r>
      <w:r w:rsidR="00353E31">
        <w:t xml:space="preserve"> El resultado global puede ser positivo (a ingresar) o negativo (a compensar o devolver). Pueden acogerse al sistema de devolución mensual.</w:t>
      </w:r>
    </w:p>
    <w:p w:rsidR="00353E31" w:rsidRDefault="004D5C5E" w:rsidP="00AC79FD">
      <w:pPr>
        <w:spacing w:line="240" w:lineRule="auto"/>
      </w:pPr>
      <w:r>
        <w:t>B) N</w:t>
      </w:r>
      <w:r w:rsidR="004726E6">
        <w:t xml:space="preserve">ivel avanzado: se acumula al anterior y debe optarse </w:t>
      </w:r>
      <w:r w:rsidR="00353E31">
        <w:t xml:space="preserve">expresamente </w:t>
      </w:r>
      <w:r w:rsidR="004726E6">
        <w:t>por su aplicación. Sus cara</w:t>
      </w:r>
      <w:r w:rsidR="00353E31">
        <w:t>cterísticas más importantes son:</w:t>
      </w:r>
    </w:p>
    <w:p w:rsidR="004726E6" w:rsidRDefault="00353E31" w:rsidP="00AC79FD">
      <w:pPr>
        <w:spacing w:line="240" w:lineRule="auto"/>
      </w:pPr>
      <w:r>
        <w:t>- Regla especial de determinación de la base imponible en operaciones intragrupo</w:t>
      </w:r>
      <w:r w:rsidR="00B068DE">
        <w:t xml:space="preserve"> constituida por el coste de los bienes y servicios utilizados en su realización por los que se haya soportado IVA</w:t>
      </w:r>
    </w:p>
    <w:p w:rsidR="00B068DE" w:rsidRDefault="00DE4AFE" w:rsidP="00AC79FD">
      <w:pPr>
        <w:spacing w:line="240" w:lineRule="auto"/>
      </w:pPr>
      <w:r>
        <w:t xml:space="preserve">- Facultad de renunciar </w:t>
      </w:r>
      <w:r w:rsidR="00B068DE">
        <w:t>a las exenciones limitadas en las operaciones intragrupo</w:t>
      </w:r>
    </w:p>
    <w:p w:rsidR="00DE4AFE" w:rsidRDefault="00DE4AFE" w:rsidP="00AC79FD">
      <w:pPr>
        <w:spacing w:line="240" w:lineRule="auto"/>
      </w:pPr>
      <w:r>
        <w:t>- Las operaciones intragrupo constituyen un sector diferenciado de la actividad</w:t>
      </w:r>
    </w:p>
    <w:p w:rsidR="00DE4AFE" w:rsidRDefault="00DE4AFE" w:rsidP="00AC79FD">
      <w:pPr>
        <w:spacing w:line="240" w:lineRule="auto"/>
      </w:pPr>
      <w:r>
        <w:t>- Obligaciones formales adicionales (opción, renuncia y llevanza sistema de información analítico)</w:t>
      </w:r>
    </w:p>
    <w:p w:rsidR="004726E6" w:rsidRDefault="004726E6" w:rsidP="00AC79FD">
      <w:pPr>
        <w:spacing w:line="240" w:lineRule="auto"/>
      </w:pPr>
      <w:r>
        <w:t xml:space="preserve">2.8.3 </w:t>
      </w:r>
      <w:r w:rsidR="004D5C5E">
        <w:t>O</w:t>
      </w:r>
      <w:r>
        <w:t>bligaciones específicas</w:t>
      </w:r>
    </w:p>
    <w:p w:rsidR="00DE4AFE" w:rsidRDefault="004726E6" w:rsidP="00AC79FD">
      <w:pPr>
        <w:spacing w:line="240" w:lineRule="auto"/>
      </w:pPr>
      <w:r>
        <w:t xml:space="preserve">La entidad dominante ostentará la representación del grupo siendo responsable del cumplimiento de determinadas obligaciones </w:t>
      </w:r>
      <w:r w:rsidR="004D5C5E">
        <w:t>específicas</w:t>
      </w:r>
      <w:r>
        <w:t>, presentación de autoliquidaciones en tiempo y forma, comunicación e información censal…</w:t>
      </w:r>
      <w:r w:rsidR="00DE4AFE">
        <w:t xml:space="preserve"> </w:t>
      </w:r>
    </w:p>
    <w:p w:rsidR="004726E6" w:rsidRDefault="00DE4AFE" w:rsidP="00AC79FD">
      <w:pPr>
        <w:spacing w:line="240" w:lineRule="auto"/>
      </w:pPr>
      <w:r>
        <w:t>Las entidades integrantes responden solidariamente del pago de la deuda</w:t>
      </w:r>
    </w:p>
    <w:p w:rsidR="004726E6" w:rsidRDefault="004726E6" w:rsidP="00AC79FD">
      <w:pPr>
        <w:spacing w:line="240" w:lineRule="auto"/>
      </w:pPr>
      <w:r>
        <w:t>2.9 RÉGIMEN ESPECIAL DEL CRITERIO DE CAJA</w:t>
      </w:r>
    </w:p>
    <w:p w:rsidR="004726E6" w:rsidRDefault="004D5C5E" w:rsidP="00AC79FD">
      <w:pPr>
        <w:spacing w:line="240" w:lineRule="auto"/>
      </w:pPr>
      <w:r>
        <w:t>De carácter opcional fue</w:t>
      </w:r>
      <w:r w:rsidR="004726E6">
        <w:t xml:space="preserve"> introducido por la ley 14/2013 de apoyo a los emprendedores.</w:t>
      </w:r>
    </w:p>
    <w:p w:rsidR="004726E6" w:rsidRDefault="004726E6" w:rsidP="004D5C5E">
      <w:pPr>
        <w:spacing w:line="240" w:lineRule="auto"/>
        <w:ind w:firstLine="708"/>
      </w:pPr>
      <w:r>
        <w:t xml:space="preserve">2.9.1 </w:t>
      </w:r>
      <w:r w:rsidR="004D5C5E">
        <w:t>Á</w:t>
      </w:r>
      <w:r>
        <w:t>mbito de aplicación</w:t>
      </w:r>
    </w:p>
    <w:p w:rsidR="004726E6" w:rsidRDefault="00102C32" w:rsidP="00AC79FD">
      <w:pPr>
        <w:spacing w:line="240" w:lineRule="auto"/>
      </w:pPr>
      <w:r>
        <w:t>Podrán aplicarlo</w:t>
      </w:r>
      <w:r w:rsidR="004726E6">
        <w:t xml:space="preserve"> los sujetos pasivos</w:t>
      </w:r>
      <w:r>
        <w:t xml:space="preserve"> que opten por </w:t>
      </w:r>
      <w:proofErr w:type="gramStart"/>
      <w:r>
        <w:t xml:space="preserve">él, </w:t>
      </w:r>
      <w:r w:rsidR="004726E6">
        <w:t xml:space="preserve"> cuyo</w:t>
      </w:r>
      <w:proofErr w:type="gramEnd"/>
      <w:r w:rsidR="004726E6">
        <w:t xml:space="preserve"> volumen de operaciones en el año anterior sea inferior a 2 millones de euros.</w:t>
      </w:r>
    </w:p>
    <w:p w:rsidR="004726E6" w:rsidRDefault="004726E6" w:rsidP="00AC79FD">
      <w:pPr>
        <w:spacing w:line="240" w:lineRule="auto"/>
      </w:pPr>
      <w:r>
        <w:t xml:space="preserve">Quedan excluidos los </w:t>
      </w:r>
      <w:r w:rsidR="004D5C5E">
        <w:t>sujetos pasivos cuyo</w:t>
      </w:r>
      <w:r>
        <w:t>s cobros en efectivo respecto de un mismo destinatario durante el año o supere la cantidad de 100.000 euros.</w:t>
      </w:r>
    </w:p>
    <w:p w:rsidR="00102C32" w:rsidRDefault="00102C32" w:rsidP="00AC79FD">
      <w:pPr>
        <w:spacing w:line="240" w:lineRule="auto"/>
      </w:pPr>
      <w:r>
        <w:t>Quedan excluidas del régimen las importaciones, exportaciones adquisiciones intracomunitarias y operaciones con inversión del sujeto pasivo</w:t>
      </w:r>
    </w:p>
    <w:p w:rsidR="004726E6" w:rsidRDefault="004726E6" w:rsidP="004D5C5E">
      <w:pPr>
        <w:spacing w:line="240" w:lineRule="auto"/>
        <w:ind w:firstLine="708"/>
      </w:pPr>
      <w:r>
        <w:t xml:space="preserve">2.9.2 </w:t>
      </w:r>
      <w:r w:rsidR="004D5C5E">
        <w:t>C</w:t>
      </w:r>
      <w:r>
        <w:t>ontenido del régimen</w:t>
      </w:r>
    </w:p>
    <w:p w:rsidR="000448FA" w:rsidRPr="00DE4AFE" w:rsidRDefault="000448FA" w:rsidP="00CD7E00">
      <w:pPr>
        <w:spacing w:line="240" w:lineRule="auto"/>
        <w:ind w:firstLine="708"/>
      </w:pPr>
      <w:r w:rsidRPr="00DE4AFE">
        <w:lastRenderedPageBreak/>
        <w:t>En las operaciones a las que sea de aplicación este régimen especial, el Impuesto se devengará en el momento del cobro total o parcial del precio por los importes efectivamente percibidos o si este no se ha producido, el devengo se producirá el 31 de diciembre del año inmediato posterior a aquel en que se haya realizado la operación.</w:t>
      </w:r>
    </w:p>
    <w:p w:rsidR="000448FA" w:rsidRPr="00DE4AFE" w:rsidRDefault="000448FA" w:rsidP="000448FA">
      <w:pPr>
        <w:spacing w:line="240" w:lineRule="auto"/>
        <w:ind w:firstLine="708"/>
      </w:pPr>
      <w:r w:rsidRPr="00DE4AFE">
        <w:t>A estos efectos, deberá acreditarse el momento del cobro, total o parcial, del precio de la operación.</w:t>
      </w:r>
    </w:p>
    <w:p w:rsidR="004726E6" w:rsidRDefault="004726E6" w:rsidP="00AC79FD">
      <w:pPr>
        <w:spacing w:line="240" w:lineRule="auto"/>
      </w:pPr>
      <w:r>
        <w:t>La repercusión del impuesto se efectúa al tiempo de expedirse y entregar la factura pero se entiende producida en el momento del devengo de la operación.</w:t>
      </w:r>
    </w:p>
    <w:p w:rsidR="000448FA" w:rsidRPr="00DE4AFE" w:rsidRDefault="000448FA" w:rsidP="000448FA">
      <w:pPr>
        <w:spacing w:line="240" w:lineRule="auto"/>
      </w:pPr>
      <w:r w:rsidRPr="00DE4AFE">
        <w:t>El derecho a la deducción de las cuotas soportadas por los sujetos pasivos acogidos a este régimen especial nace en el momento del pago total o parcial del precio por los importes efectivamente satisfechos, o si este no se ha producido, el 31 de diciembre del año inmediato posterior a aquel en que se haya realizado la operación.</w:t>
      </w:r>
    </w:p>
    <w:p w:rsidR="000448FA" w:rsidRPr="00DE4AFE" w:rsidRDefault="000448FA" w:rsidP="000448FA">
      <w:pPr>
        <w:spacing w:line="240" w:lineRule="auto"/>
      </w:pPr>
      <w:r w:rsidRPr="00DE4AFE">
        <w:t>Lo anterior será de aplicación con independencia del momento en que se entienda realizado el hecho imponible.</w:t>
      </w:r>
    </w:p>
    <w:p w:rsidR="000448FA" w:rsidRDefault="000448FA" w:rsidP="000448FA">
      <w:pPr>
        <w:spacing w:line="240" w:lineRule="auto"/>
      </w:pPr>
      <w:r w:rsidRPr="00DE4AFE">
        <w:t>A estos efectos, deberá acreditarse el momento del pago, total o parcial, del precio de la operación.</w:t>
      </w:r>
    </w:p>
    <w:p w:rsidR="000B1774" w:rsidRDefault="000B1774" w:rsidP="000B1774">
      <w:pPr>
        <w:pStyle w:val="Prrafodelista"/>
        <w:numPr>
          <w:ilvl w:val="2"/>
          <w:numId w:val="20"/>
        </w:numPr>
        <w:spacing w:line="240" w:lineRule="auto"/>
      </w:pPr>
      <w:r>
        <w:t>Obligaciones formales.</w:t>
      </w:r>
    </w:p>
    <w:p w:rsidR="000B1774" w:rsidRPr="00DE4AFE" w:rsidRDefault="000B1774" w:rsidP="000B1774">
      <w:pPr>
        <w:pStyle w:val="Prrafodelista"/>
        <w:spacing w:line="240" w:lineRule="auto"/>
        <w:ind w:left="1080"/>
      </w:pPr>
      <w:r>
        <w:t>Todas las facturas contendrán la mención “régimen especial del criterio de caja”. Los sujetos pasivos tienen obligaciones específicas en los libros registro</w:t>
      </w:r>
      <w:r w:rsidR="003D695E">
        <w:t>s</w:t>
      </w:r>
      <w:r>
        <w:t xml:space="preserve"> de facturas expedidas y emitidas.</w:t>
      </w:r>
    </w:p>
    <w:p w:rsidR="004726E6" w:rsidRDefault="004726E6" w:rsidP="00AC79FD">
      <w:pPr>
        <w:spacing w:line="240" w:lineRule="auto"/>
      </w:pPr>
      <w:r>
        <w:t>3. GESTIÓN DEL IMPUESTO</w:t>
      </w:r>
    </w:p>
    <w:p w:rsidR="004726E6" w:rsidRDefault="00D454DD" w:rsidP="00AC79FD">
      <w:pPr>
        <w:spacing w:line="240" w:lineRule="auto"/>
      </w:pPr>
      <w:r>
        <w:t>A</w:t>
      </w:r>
      <w:r w:rsidR="004726E6">
        <w:t>rtículos 1</w:t>
      </w:r>
      <w:r>
        <w:t>67, 167 bis y 168 de la ley y</w:t>
      </w:r>
      <w:r w:rsidR="004726E6">
        <w:t xml:space="preserve"> título X del reglamento.</w:t>
      </w:r>
    </w:p>
    <w:p w:rsidR="004726E6" w:rsidRDefault="004726E6" w:rsidP="00AC79FD">
      <w:pPr>
        <w:spacing w:line="240" w:lineRule="auto"/>
      </w:pPr>
      <w:r>
        <w:t>3.1 LIQUIDACION Y RECAUDACION</w:t>
      </w:r>
    </w:p>
    <w:p w:rsidR="003C15A4" w:rsidRDefault="003C15A4" w:rsidP="00AC79FD">
      <w:pPr>
        <w:spacing w:line="240" w:lineRule="auto"/>
      </w:pPr>
      <w:r>
        <w:t>A)</w:t>
      </w:r>
      <w:r w:rsidR="004D5C5E">
        <w:t xml:space="preserve"> S</w:t>
      </w:r>
      <w:r>
        <w:t>alvo lo establecido en relación con las importaciones y operaciones asimiladas a las importaciones, los sujetos pasivos deberán realizar por sí mismo</w:t>
      </w:r>
      <w:r w:rsidR="004D5C5E">
        <w:t>s</w:t>
      </w:r>
      <w:r>
        <w:t xml:space="preserve"> la determinación de la deuda tributaria mediante declaraciones-liquidaciones.</w:t>
      </w:r>
    </w:p>
    <w:p w:rsidR="003C15A4" w:rsidRDefault="003C15A4" w:rsidP="00AC79FD">
      <w:pPr>
        <w:spacing w:line="240" w:lineRule="auto"/>
      </w:pPr>
      <w:r>
        <w:t>El p</w:t>
      </w:r>
      <w:r w:rsidR="004D5C5E">
        <w:t>eriodo de liquidación coincidirá</w:t>
      </w:r>
      <w:r>
        <w:t xml:space="preserve"> con el trimestre </w:t>
      </w:r>
      <w:r w:rsidR="00D454DD">
        <w:t>natural,</w:t>
      </w:r>
      <w:r>
        <w:t xml:space="preserve"> aunque los sujetos pasivos pueden optar por presentar </w:t>
      </w:r>
      <w:r w:rsidR="00D454DD">
        <w:t xml:space="preserve">declaraciones liquidaciones </w:t>
      </w:r>
      <w:r>
        <w:t>con periodicidad mensual.</w:t>
      </w:r>
    </w:p>
    <w:p w:rsidR="00D454DD" w:rsidRDefault="00D454DD" w:rsidP="00AC79FD">
      <w:pPr>
        <w:spacing w:line="240" w:lineRule="auto"/>
      </w:pPr>
      <w:r>
        <w:t>El periodo de liquidación será necesariamente el mes natural si:</w:t>
      </w:r>
    </w:p>
    <w:p w:rsidR="00D454DD" w:rsidRDefault="00D454DD" w:rsidP="00D454DD">
      <w:pPr>
        <w:pStyle w:val="Prrafodelista"/>
        <w:numPr>
          <w:ilvl w:val="0"/>
          <w:numId w:val="26"/>
        </w:numPr>
        <w:spacing w:line="240" w:lineRule="auto"/>
      </w:pPr>
      <w:r>
        <w:t>El volumen de operaciones de año natural anterior excedió de 6.010.121 euros</w:t>
      </w:r>
    </w:p>
    <w:p w:rsidR="00D454DD" w:rsidRDefault="00D454DD" w:rsidP="00D454DD">
      <w:pPr>
        <w:pStyle w:val="Prrafodelista"/>
        <w:numPr>
          <w:ilvl w:val="0"/>
          <w:numId w:val="26"/>
        </w:numPr>
        <w:spacing w:line="240" w:lineRule="auto"/>
      </w:pPr>
      <w:r>
        <w:t>Supuestos de transmisiones globales o parciales del patrimonio empresarial o profesional.</w:t>
      </w:r>
    </w:p>
    <w:p w:rsidR="00D454DD" w:rsidRDefault="00D454DD" w:rsidP="00D454DD">
      <w:pPr>
        <w:pStyle w:val="Prrafodelista"/>
        <w:numPr>
          <w:ilvl w:val="0"/>
          <w:numId w:val="26"/>
        </w:numPr>
        <w:spacing w:line="240" w:lineRule="auto"/>
      </w:pPr>
      <w:r>
        <w:t>Acogimiento al sistema de devolución mensual.</w:t>
      </w:r>
    </w:p>
    <w:p w:rsidR="003C15A4" w:rsidRDefault="003C15A4" w:rsidP="00AC79FD">
      <w:pPr>
        <w:spacing w:line="240" w:lineRule="auto"/>
      </w:pPr>
      <w:r>
        <w:t>Las declaraciones-liquidaciones deberán presentarse durante los 20 primeros días naturales del mes siguiente</w:t>
      </w:r>
      <w:r w:rsidR="00D454DD">
        <w:t xml:space="preserve"> al del fin del periodo de liquidación</w:t>
      </w:r>
      <w:r>
        <w:t>, con la única e excepción de la del último periodo del año que deberá presentarse durante los 30 primeros días del mes de enero.</w:t>
      </w:r>
    </w:p>
    <w:p w:rsidR="00D454DD" w:rsidRDefault="00D454DD" w:rsidP="00AC79FD">
      <w:pPr>
        <w:spacing w:line="240" w:lineRule="auto"/>
      </w:pPr>
      <w:r>
        <w:t>El ministro de hacienda por razones de carácter técnico podrá ampliar el plazo de declaraciones presentadas por vía telemática.</w:t>
      </w:r>
    </w:p>
    <w:p w:rsidR="003C15A4" w:rsidRDefault="004D5C5E" w:rsidP="00AC79FD">
      <w:pPr>
        <w:spacing w:line="240" w:lineRule="auto"/>
      </w:pPr>
      <w:r>
        <w:t>L</w:t>
      </w:r>
      <w:r w:rsidR="003C15A4">
        <w:t>a declaración-liquidación será única para cada empresario.</w:t>
      </w:r>
    </w:p>
    <w:p w:rsidR="003C15A4" w:rsidRDefault="003C15A4" w:rsidP="00AC79FD">
      <w:pPr>
        <w:spacing w:line="240" w:lineRule="auto"/>
      </w:pPr>
      <w:r>
        <w:t>Los sujetos pasivos deberán formular una declaración resumen anual que deberá presentarse con la declaración correspondiente al último periodo de liquidación.</w:t>
      </w:r>
    </w:p>
    <w:p w:rsidR="003C15A4" w:rsidRDefault="003C15A4" w:rsidP="00AC79FD">
      <w:pPr>
        <w:spacing w:line="240" w:lineRule="auto"/>
      </w:pPr>
      <w:r>
        <w:t>Determinados sujetos pasivos deberán presentar declaración-liquidación es</w:t>
      </w:r>
      <w:r w:rsidR="00D454DD">
        <w:t>pecial de carácter no periódico (adquisiciones y entregas intracomunitarias en régimen agricultura y recargo de equivalencia.</w:t>
      </w:r>
    </w:p>
    <w:p w:rsidR="003C15A4" w:rsidRDefault="004D5C5E" w:rsidP="00AC79FD">
      <w:pPr>
        <w:spacing w:line="240" w:lineRule="auto"/>
      </w:pPr>
      <w:r>
        <w:lastRenderedPageBreak/>
        <w:t>B) C</w:t>
      </w:r>
      <w:r w:rsidR="003C15A4">
        <w:t>onforme a la modificación introducida por la ley 28/2014, en las importaciones de bienes el impuesto se liquidará en la forma prevista por la legislación aduanera para los derechos arancelarios.</w:t>
      </w:r>
    </w:p>
    <w:p w:rsidR="003C15A4" w:rsidRDefault="004D5C5E" w:rsidP="00AC79FD">
      <w:pPr>
        <w:spacing w:line="240" w:lineRule="auto"/>
      </w:pPr>
      <w:r>
        <w:t xml:space="preserve">C) </w:t>
      </w:r>
      <w:r w:rsidR="003C15A4">
        <w:t>La liquidación de las operaciones asimiladas a las importaciones se efectuará en las declaraciones-liquidaciones de carácter no periódico deberán presentarse ante cada una de las aduanas de control</w:t>
      </w:r>
    </w:p>
    <w:p w:rsidR="003C15A4" w:rsidRDefault="003C15A4" w:rsidP="00AC79FD">
      <w:pPr>
        <w:spacing w:line="240" w:lineRule="auto"/>
      </w:pPr>
      <w:r>
        <w:t>3.2 LIQUIDACIÓN PROVISIONAL DE OFICIO</w:t>
      </w:r>
    </w:p>
    <w:p w:rsidR="003C15A4" w:rsidRDefault="003C15A4" w:rsidP="00AC79FD">
      <w:pPr>
        <w:spacing w:line="240" w:lineRule="auto"/>
      </w:pPr>
      <w:r>
        <w:t>La gestión del</w:t>
      </w:r>
      <w:r w:rsidR="004D5C5E">
        <w:t xml:space="preserve"> </w:t>
      </w:r>
      <w:r>
        <w:t>IVA se efectúa mediante el procedimiento autoliquidación, los sujetos pasivos deberán determinar por sí mismos e ingresar la deuda tributaria.</w:t>
      </w:r>
    </w:p>
    <w:p w:rsidR="003C15A4" w:rsidRDefault="003C15A4" w:rsidP="00AC79FD">
      <w:pPr>
        <w:spacing w:line="240" w:lineRule="auto"/>
      </w:pPr>
      <w:r>
        <w:t>Para suplir la no actuación del sujeto pasivo la ley regula la liquidación provisional de oficio regulado en la ley</w:t>
      </w:r>
      <w:r w:rsidR="001D76A2">
        <w:t xml:space="preserve"> (art. 168)</w:t>
      </w:r>
      <w:r>
        <w:t xml:space="preserve"> y en el reglamento.</w:t>
      </w:r>
    </w:p>
    <w:p w:rsidR="003C15A4" w:rsidRDefault="003C15A4" w:rsidP="003C15A4">
      <w:pPr>
        <w:pStyle w:val="Prrafodelista"/>
        <w:numPr>
          <w:ilvl w:val="0"/>
          <w:numId w:val="22"/>
        </w:numPr>
        <w:spacing w:line="240" w:lineRule="auto"/>
      </w:pPr>
      <w:r>
        <w:t>Supuesto de aplicación: cuando el sujeto pasivo incumpla el deber de autoliquida</w:t>
      </w:r>
      <w:r w:rsidR="004D5C5E">
        <w:t>r</w:t>
      </w:r>
      <w:r>
        <w:t xml:space="preserve"> el impuesto y no atienda al requerimiento de presentación.</w:t>
      </w:r>
    </w:p>
    <w:p w:rsidR="003C15A4" w:rsidRDefault="003C15A4" w:rsidP="003C15A4">
      <w:pPr>
        <w:pStyle w:val="Prrafodelista"/>
        <w:numPr>
          <w:ilvl w:val="0"/>
          <w:numId w:val="22"/>
        </w:numPr>
        <w:spacing w:line="240" w:lineRule="auto"/>
      </w:pPr>
      <w:r>
        <w:t>Procedimiento: se iniciará transcurridos 30 días hábiles desde la notificación al sujeto pasivo del requerimiento de la administración tributaria.</w:t>
      </w:r>
    </w:p>
    <w:p w:rsidR="003C15A4" w:rsidRDefault="003C15A4" w:rsidP="003C15A4">
      <w:pPr>
        <w:pStyle w:val="Prrafodelista"/>
        <w:spacing w:line="240" w:lineRule="auto"/>
      </w:pPr>
      <w:r>
        <w:t>La liquidación provisional de oficio se realizará en base a datos</w:t>
      </w:r>
      <w:r w:rsidR="001D76A2">
        <w:t xml:space="preserve"> que disponga la administración. Habrá puesta de manifiesto y periodo de alegaciones de 10 días.</w:t>
      </w:r>
    </w:p>
    <w:p w:rsidR="003C15A4" w:rsidRDefault="003C15A4" w:rsidP="003C15A4">
      <w:pPr>
        <w:pStyle w:val="Prrafodelista"/>
        <w:numPr>
          <w:ilvl w:val="0"/>
          <w:numId w:val="22"/>
        </w:numPr>
        <w:spacing w:line="240" w:lineRule="auto"/>
      </w:pPr>
      <w:r>
        <w:t xml:space="preserve">Efectos: </w:t>
      </w:r>
      <w:r w:rsidR="00FB187E">
        <w:t>las liquidaciones provisionales de oficio serán inmediatamente ejecutivas.</w:t>
      </w:r>
    </w:p>
    <w:p w:rsidR="00FB187E" w:rsidRDefault="00FB187E" w:rsidP="00FB187E">
      <w:pPr>
        <w:spacing w:line="240" w:lineRule="auto"/>
      </w:pPr>
      <w:r>
        <w:t>3.3 DECLARACIÓN RECAPITULATIVA DE OPERACIONES INTRACOMUNITARIAS</w:t>
      </w:r>
    </w:p>
    <w:p w:rsidR="003C15A4" w:rsidRDefault="00FB187E" w:rsidP="00AC79FD">
      <w:pPr>
        <w:spacing w:line="240" w:lineRule="auto"/>
      </w:pPr>
      <w:r>
        <w:t xml:space="preserve">Los sujetos pasivos del impuesto deberán presentar una declaración </w:t>
      </w:r>
      <w:r w:rsidR="004D5C5E">
        <w:t>recapitulativa</w:t>
      </w:r>
      <w:r>
        <w:t xml:space="preserve"> de las entregas y adquisiciones intracomunitarias de bienes así como de las prestaciones </w:t>
      </w:r>
      <w:r w:rsidR="004D5C5E">
        <w:t xml:space="preserve">y adquisiciones </w:t>
      </w:r>
      <w:r>
        <w:t>intracomunitarias de servicios.</w:t>
      </w:r>
    </w:p>
    <w:p w:rsidR="00FB187E" w:rsidRDefault="001D76A2" w:rsidP="00AC79FD">
      <w:pPr>
        <w:spacing w:line="240" w:lineRule="auto"/>
      </w:pPr>
      <w:r>
        <w:t>En dicha declaración se ap</w:t>
      </w:r>
      <w:r w:rsidR="00FB187E">
        <w:t xml:space="preserve">ortan los datos de identificación de los proveedores y adquirientes de los bienes y los prestadores y </w:t>
      </w:r>
      <w:r w:rsidR="004D5C5E">
        <w:t>destinatarios de los servicios y</w:t>
      </w:r>
      <w:r w:rsidR="00FB187E">
        <w:t xml:space="preserve"> la base imponible relativa a dichas operaciones.</w:t>
      </w:r>
    </w:p>
    <w:p w:rsidR="00FB187E" w:rsidRDefault="00FB187E" w:rsidP="00AC79FD">
      <w:pPr>
        <w:spacing w:line="240" w:lineRule="auto"/>
      </w:pPr>
      <w:r>
        <w:t xml:space="preserve">La declaración </w:t>
      </w:r>
      <w:r w:rsidR="00326408">
        <w:t>recapitulativa</w:t>
      </w:r>
      <w:r>
        <w:t xml:space="preserve"> corresponderá las operaciones</w:t>
      </w:r>
      <w:r w:rsidR="001D76A2">
        <w:t xml:space="preserve"> realizadas en cada mes natural y se presentará en los 20 día naturales del mes inmediato siguiente (la de diciembre hasta 30 de enero)</w:t>
      </w:r>
    </w:p>
    <w:p w:rsidR="001D76A2" w:rsidRDefault="001D76A2" w:rsidP="00AC79FD">
      <w:pPr>
        <w:spacing w:line="240" w:lineRule="auto"/>
      </w:pPr>
      <w:r>
        <w:t>El ministro de hacienda podrá autorizar una declaración recapitulativa anual en determinadas circunstancias.</w:t>
      </w:r>
    </w:p>
    <w:p w:rsidR="001D76A2" w:rsidRDefault="001D76A2" w:rsidP="001D76A2">
      <w:pPr>
        <w:pStyle w:val="Prrafodelista"/>
        <w:numPr>
          <w:ilvl w:val="1"/>
          <w:numId w:val="17"/>
        </w:numPr>
        <w:spacing w:line="240" w:lineRule="auto"/>
      </w:pPr>
      <w:r>
        <w:t>SUMINISTRO INMEDIATO DE INFORMACIÓN.</w:t>
      </w:r>
    </w:p>
    <w:p w:rsidR="001D76A2" w:rsidRDefault="001D76A2" w:rsidP="001D76A2">
      <w:pPr>
        <w:spacing w:line="240" w:lineRule="auto"/>
      </w:pPr>
      <w:r>
        <w:t>El RD 596/2016 ha establecido un nuevo sistema de llevanza de los libros registros del IVA a través de la sede electrónica de la AEAT que supone el suministro electrónico de los registros de facturación en un periodo breve de tiempo (4 días naturales)</w:t>
      </w:r>
    </w:p>
    <w:p w:rsidR="006D0C06" w:rsidRDefault="001D76A2" w:rsidP="001D76A2">
      <w:pPr>
        <w:spacing w:line="240" w:lineRule="auto"/>
      </w:pPr>
      <w:r>
        <w:t>Este sistema e</w:t>
      </w:r>
      <w:r w:rsidR="006D0C06">
        <w:t xml:space="preserve">s obligatorio para los sujetos </w:t>
      </w:r>
      <w:r>
        <w:t>pasivos cuyo periodo de liquidación coincida con el mes natural: Grandes empresas, grupos, registro de devolución mensual. El resto de sujetos pasivos pueden optar por él.</w:t>
      </w:r>
      <w:r w:rsidR="006D0C06">
        <w:t xml:space="preserve"> </w:t>
      </w:r>
    </w:p>
    <w:p w:rsidR="006D0C06" w:rsidRDefault="006D0C06" w:rsidP="001D76A2">
      <w:pPr>
        <w:spacing w:line="240" w:lineRule="auto"/>
      </w:pPr>
      <w:r>
        <w:t xml:space="preserve">La AEAT ofrece a cada sujeto pasivo los datos de contraste de los registros de facturación suministrados por sus clientes y proveedores como asistencia para elaborar las declaraciones-liquidaciones del IVA. </w:t>
      </w:r>
    </w:p>
    <w:p w:rsidR="001D76A2" w:rsidRDefault="006D0C06" w:rsidP="001D76A2">
      <w:pPr>
        <w:spacing w:line="240" w:lineRule="auto"/>
      </w:pPr>
      <w:r>
        <w:t>El plazo de presentación de las declaraciones-liquidaciones se amplía hasta el 30 del mes siguiente y se exonera la presentación de declaraciones informativas como el resumen anual de IVA.</w:t>
      </w:r>
    </w:p>
    <w:p w:rsidR="000F52DA" w:rsidRDefault="000F52DA">
      <w:bookmarkStart w:id="0" w:name="_GoBack"/>
      <w:bookmarkEnd w:id="0"/>
    </w:p>
    <w:sectPr w:rsidR="000F52DA" w:rsidSect="00237E59">
      <w:foot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7C0F" w:rsidRDefault="00CD7C0F" w:rsidP="00326408">
      <w:pPr>
        <w:spacing w:after="0" w:line="240" w:lineRule="auto"/>
      </w:pPr>
      <w:r>
        <w:separator/>
      </w:r>
    </w:p>
  </w:endnote>
  <w:endnote w:type="continuationSeparator" w:id="0">
    <w:p w:rsidR="00CD7C0F" w:rsidRDefault="00CD7C0F" w:rsidP="003264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8630716"/>
      <w:docPartObj>
        <w:docPartGallery w:val="Page Numbers (Bottom of Page)"/>
        <w:docPartUnique/>
      </w:docPartObj>
    </w:sdtPr>
    <w:sdtEndPr/>
    <w:sdtContent>
      <w:p w:rsidR="00326408" w:rsidRDefault="00237E59">
        <w:pPr>
          <w:pStyle w:val="Piedepgina"/>
          <w:jc w:val="right"/>
        </w:pPr>
        <w:r>
          <w:fldChar w:fldCharType="begin"/>
        </w:r>
        <w:r w:rsidR="00326408">
          <w:instrText>PAGE   \* MERGEFORMAT</w:instrText>
        </w:r>
        <w:r>
          <w:fldChar w:fldCharType="separate"/>
        </w:r>
        <w:r w:rsidR="004A2767">
          <w:rPr>
            <w:noProof/>
          </w:rPr>
          <w:t>9</w:t>
        </w:r>
        <w:r>
          <w:fldChar w:fldCharType="end"/>
        </w:r>
      </w:p>
    </w:sdtContent>
  </w:sdt>
  <w:p w:rsidR="00326408" w:rsidRDefault="0032640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7C0F" w:rsidRDefault="00CD7C0F" w:rsidP="00326408">
      <w:pPr>
        <w:spacing w:after="0" w:line="240" w:lineRule="auto"/>
      </w:pPr>
      <w:r>
        <w:separator/>
      </w:r>
    </w:p>
  </w:footnote>
  <w:footnote w:type="continuationSeparator" w:id="0">
    <w:p w:rsidR="00CD7C0F" w:rsidRDefault="00CD7C0F" w:rsidP="0032640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86DC5"/>
    <w:multiLevelType w:val="hybridMultilevel"/>
    <w:tmpl w:val="C4E8928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4F7384C"/>
    <w:multiLevelType w:val="hybridMultilevel"/>
    <w:tmpl w:val="12D83AF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083D2A56"/>
    <w:multiLevelType w:val="hybridMultilevel"/>
    <w:tmpl w:val="2A3819FE"/>
    <w:lvl w:ilvl="0" w:tplc="0C0A000F">
      <w:start w:val="1"/>
      <w:numFmt w:val="decimal"/>
      <w:lvlText w:val="%1."/>
      <w:lvlJc w:val="left"/>
      <w:pPr>
        <w:ind w:left="825" w:hanging="360"/>
      </w:pPr>
    </w:lvl>
    <w:lvl w:ilvl="1" w:tplc="0C0A0019" w:tentative="1">
      <w:start w:val="1"/>
      <w:numFmt w:val="lowerLetter"/>
      <w:lvlText w:val="%2."/>
      <w:lvlJc w:val="left"/>
      <w:pPr>
        <w:ind w:left="1545" w:hanging="360"/>
      </w:pPr>
    </w:lvl>
    <w:lvl w:ilvl="2" w:tplc="0C0A001B" w:tentative="1">
      <w:start w:val="1"/>
      <w:numFmt w:val="lowerRoman"/>
      <w:lvlText w:val="%3."/>
      <w:lvlJc w:val="right"/>
      <w:pPr>
        <w:ind w:left="2265" w:hanging="180"/>
      </w:pPr>
    </w:lvl>
    <w:lvl w:ilvl="3" w:tplc="0C0A000F" w:tentative="1">
      <w:start w:val="1"/>
      <w:numFmt w:val="decimal"/>
      <w:lvlText w:val="%4."/>
      <w:lvlJc w:val="left"/>
      <w:pPr>
        <w:ind w:left="2985" w:hanging="360"/>
      </w:pPr>
    </w:lvl>
    <w:lvl w:ilvl="4" w:tplc="0C0A0019" w:tentative="1">
      <w:start w:val="1"/>
      <w:numFmt w:val="lowerLetter"/>
      <w:lvlText w:val="%5."/>
      <w:lvlJc w:val="left"/>
      <w:pPr>
        <w:ind w:left="3705" w:hanging="360"/>
      </w:pPr>
    </w:lvl>
    <w:lvl w:ilvl="5" w:tplc="0C0A001B" w:tentative="1">
      <w:start w:val="1"/>
      <w:numFmt w:val="lowerRoman"/>
      <w:lvlText w:val="%6."/>
      <w:lvlJc w:val="right"/>
      <w:pPr>
        <w:ind w:left="4425" w:hanging="180"/>
      </w:pPr>
    </w:lvl>
    <w:lvl w:ilvl="6" w:tplc="0C0A000F" w:tentative="1">
      <w:start w:val="1"/>
      <w:numFmt w:val="decimal"/>
      <w:lvlText w:val="%7."/>
      <w:lvlJc w:val="left"/>
      <w:pPr>
        <w:ind w:left="5145" w:hanging="360"/>
      </w:pPr>
    </w:lvl>
    <w:lvl w:ilvl="7" w:tplc="0C0A0019" w:tentative="1">
      <w:start w:val="1"/>
      <w:numFmt w:val="lowerLetter"/>
      <w:lvlText w:val="%8."/>
      <w:lvlJc w:val="left"/>
      <w:pPr>
        <w:ind w:left="5865" w:hanging="360"/>
      </w:pPr>
    </w:lvl>
    <w:lvl w:ilvl="8" w:tplc="0C0A001B" w:tentative="1">
      <w:start w:val="1"/>
      <w:numFmt w:val="lowerRoman"/>
      <w:lvlText w:val="%9."/>
      <w:lvlJc w:val="right"/>
      <w:pPr>
        <w:ind w:left="6585" w:hanging="180"/>
      </w:pPr>
    </w:lvl>
  </w:abstractNum>
  <w:abstractNum w:abstractNumId="3" w15:restartNumberingAfterBreak="0">
    <w:nsid w:val="095B219C"/>
    <w:multiLevelType w:val="hybridMultilevel"/>
    <w:tmpl w:val="6A00211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0A15004C"/>
    <w:multiLevelType w:val="hybridMultilevel"/>
    <w:tmpl w:val="3E48A552"/>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5" w15:restartNumberingAfterBreak="0">
    <w:nsid w:val="0C0000C0"/>
    <w:multiLevelType w:val="hybridMultilevel"/>
    <w:tmpl w:val="CDB4E85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0EDB2977"/>
    <w:multiLevelType w:val="hybridMultilevel"/>
    <w:tmpl w:val="6A00211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13AD041E"/>
    <w:multiLevelType w:val="hybridMultilevel"/>
    <w:tmpl w:val="AE58F79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E781BF9"/>
    <w:multiLevelType w:val="hybridMultilevel"/>
    <w:tmpl w:val="8AA8B68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263C061D"/>
    <w:multiLevelType w:val="hybridMultilevel"/>
    <w:tmpl w:val="6F50DA06"/>
    <w:lvl w:ilvl="0" w:tplc="0C0A000F">
      <w:start w:val="1"/>
      <w:numFmt w:val="decimal"/>
      <w:lvlText w:val="%1."/>
      <w:lvlJc w:val="left"/>
      <w:pPr>
        <w:ind w:left="720" w:hanging="360"/>
      </w:pPr>
    </w:lvl>
    <w:lvl w:ilvl="1" w:tplc="0C0A0001">
      <w:start w:val="1"/>
      <w:numFmt w:val="bullet"/>
      <w:lvlText w:val=""/>
      <w:lvlJc w:val="left"/>
      <w:pPr>
        <w:ind w:left="1440" w:hanging="360"/>
      </w:pPr>
      <w:rPr>
        <w:rFonts w:ascii="Symbol" w:hAnsi="Symbol"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280E592B"/>
    <w:multiLevelType w:val="hybridMultilevel"/>
    <w:tmpl w:val="393C219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362908A7"/>
    <w:multiLevelType w:val="hybridMultilevel"/>
    <w:tmpl w:val="58A62C3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397035CA"/>
    <w:multiLevelType w:val="hybridMultilevel"/>
    <w:tmpl w:val="7D06B19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40DD3100"/>
    <w:multiLevelType w:val="hybridMultilevel"/>
    <w:tmpl w:val="4372F190"/>
    <w:lvl w:ilvl="0" w:tplc="0C0A000F">
      <w:start w:val="1"/>
      <w:numFmt w:val="decimal"/>
      <w:lvlText w:val="%1."/>
      <w:lvlJc w:val="left"/>
      <w:pPr>
        <w:ind w:left="780" w:hanging="360"/>
      </w:pPr>
    </w:lvl>
    <w:lvl w:ilvl="1" w:tplc="0C0A0019" w:tentative="1">
      <w:start w:val="1"/>
      <w:numFmt w:val="lowerLetter"/>
      <w:lvlText w:val="%2."/>
      <w:lvlJc w:val="left"/>
      <w:pPr>
        <w:ind w:left="1500" w:hanging="360"/>
      </w:pPr>
    </w:lvl>
    <w:lvl w:ilvl="2" w:tplc="0C0A001B" w:tentative="1">
      <w:start w:val="1"/>
      <w:numFmt w:val="lowerRoman"/>
      <w:lvlText w:val="%3."/>
      <w:lvlJc w:val="right"/>
      <w:pPr>
        <w:ind w:left="2220" w:hanging="180"/>
      </w:pPr>
    </w:lvl>
    <w:lvl w:ilvl="3" w:tplc="0C0A000F" w:tentative="1">
      <w:start w:val="1"/>
      <w:numFmt w:val="decimal"/>
      <w:lvlText w:val="%4."/>
      <w:lvlJc w:val="left"/>
      <w:pPr>
        <w:ind w:left="2940" w:hanging="360"/>
      </w:pPr>
    </w:lvl>
    <w:lvl w:ilvl="4" w:tplc="0C0A0019" w:tentative="1">
      <w:start w:val="1"/>
      <w:numFmt w:val="lowerLetter"/>
      <w:lvlText w:val="%5."/>
      <w:lvlJc w:val="left"/>
      <w:pPr>
        <w:ind w:left="3660" w:hanging="360"/>
      </w:pPr>
    </w:lvl>
    <w:lvl w:ilvl="5" w:tplc="0C0A001B" w:tentative="1">
      <w:start w:val="1"/>
      <w:numFmt w:val="lowerRoman"/>
      <w:lvlText w:val="%6."/>
      <w:lvlJc w:val="right"/>
      <w:pPr>
        <w:ind w:left="4380" w:hanging="180"/>
      </w:pPr>
    </w:lvl>
    <w:lvl w:ilvl="6" w:tplc="0C0A000F" w:tentative="1">
      <w:start w:val="1"/>
      <w:numFmt w:val="decimal"/>
      <w:lvlText w:val="%7."/>
      <w:lvlJc w:val="left"/>
      <w:pPr>
        <w:ind w:left="5100" w:hanging="360"/>
      </w:pPr>
    </w:lvl>
    <w:lvl w:ilvl="7" w:tplc="0C0A0019" w:tentative="1">
      <w:start w:val="1"/>
      <w:numFmt w:val="lowerLetter"/>
      <w:lvlText w:val="%8."/>
      <w:lvlJc w:val="left"/>
      <w:pPr>
        <w:ind w:left="5820" w:hanging="360"/>
      </w:pPr>
    </w:lvl>
    <w:lvl w:ilvl="8" w:tplc="0C0A001B" w:tentative="1">
      <w:start w:val="1"/>
      <w:numFmt w:val="lowerRoman"/>
      <w:lvlText w:val="%9."/>
      <w:lvlJc w:val="right"/>
      <w:pPr>
        <w:ind w:left="6540" w:hanging="180"/>
      </w:pPr>
    </w:lvl>
  </w:abstractNum>
  <w:abstractNum w:abstractNumId="14" w15:restartNumberingAfterBreak="0">
    <w:nsid w:val="481C13FD"/>
    <w:multiLevelType w:val="multilevel"/>
    <w:tmpl w:val="9E1041A0"/>
    <w:lvl w:ilvl="0">
      <w:start w:val="1"/>
      <w:numFmt w:val="decimal"/>
      <w:lvlText w:val="%1."/>
      <w:lvlJc w:val="left"/>
      <w:pPr>
        <w:ind w:left="720" w:hanging="360"/>
      </w:pPr>
    </w:lvl>
    <w:lvl w:ilvl="1">
      <w:start w:val="4"/>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BFD72FB"/>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2A017A7"/>
    <w:multiLevelType w:val="multilevel"/>
    <w:tmpl w:val="D4F67E78"/>
    <w:lvl w:ilvl="0">
      <w:start w:val="1"/>
      <w:numFmt w:val="decimal"/>
      <w:lvlText w:val="%1."/>
      <w:lvlJc w:val="left"/>
      <w:pPr>
        <w:ind w:left="720" w:hanging="360"/>
      </w:p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56D030C6"/>
    <w:multiLevelType w:val="hybridMultilevel"/>
    <w:tmpl w:val="B92A3280"/>
    <w:lvl w:ilvl="0" w:tplc="11EE3C90">
      <w:start w:val="3"/>
      <w:numFmt w:val="bullet"/>
      <w:lvlText w:val="-"/>
      <w:lvlJc w:val="left"/>
      <w:pPr>
        <w:ind w:left="720" w:hanging="360"/>
      </w:pPr>
      <w:rPr>
        <w:rFonts w:ascii="Times New Roman" w:eastAsiaTheme="minorHAnsi"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57662A75"/>
    <w:multiLevelType w:val="hybridMultilevel"/>
    <w:tmpl w:val="098A31DC"/>
    <w:lvl w:ilvl="0" w:tplc="0C0A0001">
      <w:start w:val="1"/>
      <w:numFmt w:val="bullet"/>
      <w:lvlText w:val=""/>
      <w:lvlJc w:val="left"/>
      <w:pPr>
        <w:ind w:left="1545" w:hanging="360"/>
      </w:pPr>
      <w:rPr>
        <w:rFonts w:ascii="Symbol" w:hAnsi="Symbol" w:hint="default"/>
      </w:rPr>
    </w:lvl>
    <w:lvl w:ilvl="1" w:tplc="0C0A0003" w:tentative="1">
      <w:start w:val="1"/>
      <w:numFmt w:val="bullet"/>
      <w:lvlText w:val="o"/>
      <w:lvlJc w:val="left"/>
      <w:pPr>
        <w:ind w:left="2265" w:hanging="360"/>
      </w:pPr>
      <w:rPr>
        <w:rFonts w:ascii="Courier New" w:hAnsi="Courier New" w:cs="Courier New" w:hint="default"/>
      </w:rPr>
    </w:lvl>
    <w:lvl w:ilvl="2" w:tplc="0C0A0005" w:tentative="1">
      <w:start w:val="1"/>
      <w:numFmt w:val="bullet"/>
      <w:lvlText w:val=""/>
      <w:lvlJc w:val="left"/>
      <w:pPr>
        <w:ind w:left="2985" w:hanging="360"/>
      </w:pPr>
      <w:rPr>
        <w:rFonts w:ascii="Wingdings" w:hAnsi="Wingdings" w:hint="default"/>
      </w:rPr>
    </w:lvl>
    <w:lvl w:ilvl="3" w:tplc="0C0A0001" w:tentative="1">
      <w:start w:val="1"/>
      <w:numFmt w:val="bullet"/>
      <w:lvlText w:val=""/>
      <w:lvlJc w:val="left"/>
      <w:pPr>
        <w:ind w:left="3705" w:hanging="360"/>
      </w:pPr>
      <w:rPr>
        <w:rFonts w:ascii="Symbol" w:hAnsi="Symbol" w:hint="default"/>
      </w:rPr>
    </w:lvl>
    <w:lvl w:ilvl="4" w:tplc="0C0A0003" w:tentative="1">
      <w:start w:val="1"/>
      <w:numFmt w:val="bullet"/>
      <w:lvlText w:val="o"/>
      <w:lvlJc w:val="left"/>
      <w:pPr>
        <w:ind w:left="4425" w:hanging="360"/>
      </w:pPr>
      <w:rPr>
        <w:rFonts w:ascii="Courier New" w:hAnsi="Courier New" w:cs="Courier New" w:hint="default"/>
      </w:rPr>
    </w:lvl>
    <w:lvl w:ilvl="5" w:tplc="0C0A0005" w:tentative="1">
      <w:start w:val="1"/>
      <w:numFmt w:val="bullet"/>
      <w:lvlText w:val=""/>
      <w:lvlJc w:val="left"/>
      <w:pPr>
        <w:ind w:left="5145" w:hanging="360"/>
      </w:pPr>
      <w:rPr>
        <w:rFonts w:ascii="Wingdings" w:hAnsi="Wingdings" w:hint="default"/>
      </w:rPr>
    </w:lvl>
    <w:lvl w:ilvl="6" w:tplc="0C0A0001" w:tentative="1">
      <w:start w:val="1"/>
      <w:numFmt w:val="bullet"/>
      <w:lvlText w:val=""/>
      <w:lvlJc w:val="left"/>
      <w:pPr>
        <w:ind w:left="5865" w:hanging="360"/>
      </w:pPr>
      <w:rPr>
        <w:rFonts w:ascii="Symbol" w:hAnsi="Symbol" w:hint="default"/>
      </w:rPr>
    </w:lvl>
    <w:lvl w:ilvl="7" w:tplc="0C0A0003" w:tentative="1">
      <w:start w:val="1"/>
      <w:numFmt w:val="bullet"/>
      <w:lvlText w:val="o"/>
      <w:lvlJc w:val="left"/>
      <w:pPr>
        <w:ind w:left="6585" w:hanging="360"/>
      </w:pPr>
      <w:rPr>
        <w:rFonts w:ascii="Courier New" w:hAnsi="Courier New" w:cs="Courier New" w:hint="default"/>
      </w:rPr>
    </w:lvl>
    <w:lvl w:ilvl="8" w:tplc="0C0A0005" w:tentative="1">
      <w:start w:val="1"/>
      <w:numFmt w:val="bullet"/>
      <w:lvlText w:val=""/>
      <w:lvlJc w:val="left"/>
      <w:pPr>
        <w:ind w:left="7305" w:hanging="360"/>
      </w:pPr>
      <w:rPr>
        <w:rFonts w:ascii="Wingdings" w:hAnsi="Wingdings" w:hint="default"/>
      </w:rPr>
    </w:lvl>
  </w:abstractNum>
  <w:abstractNum w:abstractNumId="19" w15:restartNumberingAfterBreak="0">
    <w:nsid w:val="577D2C63"/>
    <w:multiLevelType w:val="hybridMultilevel"/>
    <w:tmpl w:val="DD80FDF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5D7946C2"/>
    <w:multiLevelType w:val="multilevel"/>
    <w:tmpl w:val="08505CEE"/>
    <w:lvl w:ilvl="0">
      <w:start w:val="1"/>
      <w:numFmt w:val="decimal"/>
      <w:lvlText w:val="%1."/>
      <w:lvlJc w:val="left"/>
      <w:pPr>
        <w:ind w:left="720" w:hanging="360"/>
      </w:pPr>
    </w:lvl>
    <w:lvl w:ilvl="1">
      <w:start w:val="9"/>
      <w:numFmt w:val="decimal"/>
      <w:isLgl/>
      <w:lvlText w:val="%1.%2."/>
      <w:lvlJc w:val="left"/>
      <w:pPr>
        <w:ind w:left="915" w:hanging="55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1B03B4B"/>
    <w:multiLevelType w:val="hybridMultilevel"/>
    <w:tmpl w:val="C0C0F65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72562D93"/>
    <w:multiLevelType w:val="hybridMultilevel"/>
    <w:tmpl w:val="06B4622E"/>
    <w:lvl w:ilvl="0" w:tplc="0C0A0017">
      <w:start w:val="1"/>
      <w:numFmt w:val="lowerLetter"/>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23" w15:restartNumberingAfterBreak="0">
    <w:nsid w:val="775D6C3E"/>
    <w:multiLevelType w:val="hybridMultilevel"/>
    <w:tmpl w:val="ABB8667C"/>
    <w:lvl w:ilvl="0" w:tplc="0C0A0017">
      <w:start w:val="1"/>
      <w:numFmt w:val="lowerLetter"/>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24" w15:restartNumberingAfterBreak="0">
    <w:nsid w:val="797F590B"/>
    <w:multiLevelType w:val="hybridMultilevel"/>
    <w:tmpl w:val="70B2D57A"/>
    <w:lvl w:ilvl="0" w:tplc="0C0A0001">
      <w:start w:val="1"/>
      <w:numFmt w:val="bullet"/>
      <w:lvlText w:val=""/>
      <w:lvlJc w:val="left"/>
      <w:pPr>
        <w:ind w:left="1545" w:hanging="360"/>
      </w:pPr>
      <w:rPr>
        <w:rFonts w:ascii="Symbol" w:hAnsi="Symbol" w:hint="default"/>
      </w:rPr>
    </w:lvl>
    <w:lvl w:ilvl="1" w:tplc="0C0A0003" w:tentative="1">
      <w:start w:val="1"/>
      <w:numFmt w:val="bullet"/>
      <w:lvlText w:val="o"/>
      <w:lvlJc w:val="left"/>
      <w:pPr>
        <w:ind w:left="2265" w:hanging="360"/>
      </w:pPr>
      <w:rPr>
        <w:rFonts w:ascii="Courier New" w:hAnsi="Courier New" w:cs="Courier New" w:hint="default"/>
      </w:rPr>
    </w:lvl>
    <w:lvl w:ilvl="2" w:tplc="0C0A0005" w:tentative="1">
      <w:start w:val="1"/>
      <w:numFmt w:val="bullet"/>
      <w:lvlText w:val=""/>
      <w:lvlJc w:val="left"/>
      <w:pPr>
        <w:ind w:left="2985" w:hanging="360"/>
      </w:pPr>
      <w:rPr>
        <w:rFonts w:ascii="Wingdings" w:hAnsi="Wingdings" w:hint="default"/>
      </w:rPr>
    </w:lvl>
    <w:lvl w:ilvl="3" w:tplc="0C0A0001" w:tentative="1">
      <w:start w:val="1"/>
      <w:numFmt w:val="bullet"/>
      <w:lvlText w:val=""/>
      <w:lvlJc w:val="left"/>
      <w:pPr>
        <w:ind w:left="3705" w:hanging="360"/>
      </w:pPr>
      <w:rPr>
        <w:rFonts w:ascii="Symbol" w:hAnsi="Symbol" w:hint="default"/>
      </w:rPr>
    </w:lvl>
    <w:lvl w:ilvl="4" w:tplc="0C0A0003" w:tentative="1">
      <w:start w:val="1"/>
      <w:numFmt w:val="bullet"/>
      <w:lvlText w:val="o"/>
      <w:lvlJc w:val="left"/>
      <w:pPr>
        <w:ind w:left="4425" w:hanging="360"/>
      </w:pPr>
      <w:rPr>
        <w:rFonts w:ascii="Courier New" w:hAnsi="Courier New" w:cs="Courier New" w:hint="default"/>
      </w:rPr>
    </w:lvl>
    <w:lvl w:ilvl="5" w:tplc="0C0A0005" w:tentative="1">
      <w:start w:val="1"/>
      <w:numFmt w:val="bullet"/>
      <w:lvlText w:val=""/>
      <w:lvlJc w:val="left"/>
      <w:pPr>
        <w:ind w:left="5145" w:hanging="360"/>
      </w:pPr>
      <w:rPr>
        <w:rFonts w:ascii="Wingdings" w:hAnsi="Wingdings" w:hint="default"/>
      </w:rPr>
    </w:lvl>
    <w:lvl w:ilvl="6" w:tplc="0C0A0001" w:tentative="1">
      <w:start w:val="1"/>
      <w:numFmt w:val="bullet"/>
      <w:lvlText w:val=""/>
      <w:lvlJc w:val="left"/>
      <w:pPr>
        <w:ind w:left="5865" w:hanging="360"/>
      </w:pPr>
      <w:rPr>
        <w:rFonts w:ascii="Symbol" w:hAnsi="Symbol" w:hint="default"/>
      </w:rPr>
    </w:lvl>
    <w:lvl w:ilvl="7" w:tplc="0C0A0003" w:tentative="1">
      <w:start w:val="1"/>
      <w:numFmt w:val="bullet"/>
      <w:lvlText w:val="o"/>
      <w:lvlJc w:val="left"/>
      <w:pPr>
        <w:ind w:left="6585" w:hanging="360"/>
      </w:pPr>
      <w:rPr>
        <w:rFonts w:ascii="Courier New" w:hAnsi="Courier New" w:cs="Courier New" w:hint="default"/>
      </w:rPr>
    </w:lvl>
    <w:lvl w:ilvl="8" w:tplc="0C0A0005" w:tentative="1">
      <w:start w:val="1"/>
      <w:numFmt w:val="bullet"/>
      <w:lvlText w:val=""/>
      <w:lvlJc w:val="left"/>
      <w:pPr>
        <w:ind w:left="7305" w:hanging="360"/>
      </w:pPr>
      <w:rPr>
        <w:rFonts w:ascii="Wingdings" w:hAnsi="Wingdings" w:hint="default"/>
      </w:rPr>
    </w:lvl>
  </w:abstractNum>
  <w:abstractNum w:abstractNumId="25" w15:restartNumberingAfterBreak="0">
    <w:nsid w:val="7AB1354D"/>
    <w:multiLevelType w:val="hybridMultilevel"/>
    <w:tmpl w:val="F522B5E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5"/>
  </w:num>
  <w:num w:numId="2">
    <w:abstractNumId w:val="19"/>
  </w:num>
  <w:num w:numId="3">
    <w:abstractNumId w:val="1"/>
  </w:num>
  <w:num w:numId="4">
    <w:abstractNumId w:val="13"/>
  </w:num>
  <w:num w:numId="5">
    <w:abstractNumId w:val="2"/>
  </w:num>
  <w:num w:numId="6">
    <w:abstractNumId w:val="24"/>
  </w:num>
  <w:num w:numId="7">
    <w:abstractNumId w:val="18"/>
  </w:num>
  <w:num w:numId="8">
    <w:abstractNumId w:val="8"/>
  </w:num>
  <w:num w:numId="9">
    <w:abstractNumId w:val="12"/>
  </w:num>
  <w:num w:numId="10">
    <w:abstractNumId w:val="3"/>
  </w:num>
  <w:num w:numId="11">
    <w:abstractNumId w:val="4"/>
  </w:num>
  <w:num w:numId="12">
    <w:abstractNumId w:val="6"/>
  </w:num>
  <w:num w:numId="13">
    <w:abstractNumId w:val="10"/>
  </w:num>
  <w:num w:numId="14">
    <w:abstractNumId w:val="25"/>
  </w:num>
  <w:num w:numId="15">
    <w:abstractNumId w:val="11"/>
  </w:num>
  <w:num w:numId="16">
    <w:abstractNumId w:val="22"/>
  </w:num>
  <w:num w:numId="17">
    <w:abstractNumId w:val="16"/>
  </w:num>
  <w:num w:numId="18">
    <w:abstractNumId w:val="21"/>
  </w:num>
  <w:num w:numId="19">
    <w:abstractNumId w:val="0"/>
  </w:num>
  <w:num w:numId="20">
    <w:abstractNumId w:val="20"/>
  </w:num>
  <w:num w:numId="21">
    <w:abstractNumId w:val="9"/>
  </w:num>
  <w:num w:numId="22">
    <w:abstractNumId w:val="7"/>
  </w:num>
  <w:num w:numId="23">
    <w:abstractNumId w:val="14"/>
  </w:num>
  <w:num w:numId="24">
    <w:abstractNumId w:val="23"/>
  </w:num>
  <w:num w:numId="25">
    <w:abstractNumId w:val="5"/>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41D"/>
    <w:rsid w:val="00024EE4"/>
    <w:rsid w:val="000448FA"/>
    <w:rsid w:val="00083813"/>
    <w:rsid w:val="000B1774"/>
    <w:rsid w:val="000F52DA"/>
    <w:rsid w:val="00102C32"/>
    <w:rsid w:val="001755E5"/>
    <w:rsid w:val="00180347"/>
    <w:rsid w:val="001B237F"/>
    <w:rsid w:val="001D76A2"/>
    <w:rsid w:val="00201A1B"/>
    <w:rsid w:val="00220D42"/>
    <w:rsid w:val="00237E59"/>
    <w:rsid w:val="0025573E"/>
    <w:rsid w:val="002915F9"/>
    <w:rsid w:val="002E79CF"/>
    <w:rsid w:val="00326408"/>
    <w:rsid w:val="00353E31"/>
    <w:rsid w:val="003C15A4"/>
    <w:rsid w:val="003D5082"/>
    <w:rsid w:val="003D695E"/>
    <w:rsid w:val="00421AA0"/>
    <w:rsid w:val="004726E6"/>
    <w:rsid w:val="004A2767"/>
    <w:rsid w:val="004D5C5E"/>
    <w:rsid w:val="004F6767"/>
    <w:rsid w:val="00500C01"/>
    <w:rsid w:val="005C5133"/>
    <w:rsid w:val="005E28C8"/>
    <w:rsid w:val="006B6630"/>
    <w:rsid w:val="006D0C06"/>
    <w:rsid w:val="006D224A"/>
    <w:rsid w:val="007314DA"/>
    <w:rsid w:val="00842C8F"/>
    <w:rsid w:val="00842E5D"/>
    <w:rsid w:val="008A1159"/>
    <w:rsid w:val="00993414"/>
    <w:rsid w:val="009A7DAC"/>
    <w:rsid w:val="009F3FD1"/>
    <w:rsid w:val="00A94825"/>
    <w:rsid w:val="00AC79FD"/>
    <w:rsid w:val="00B068DE"/>
    <w:rsid w:val="00C03194"/>
    <w:rsid w:val="00C375F6"/>
    <w:rsid w:val="00C82EAF"/>
    <w:rsid w:val="00CD7C0F"/>
    <w:rsid w:val="00CD7E00"/>
    <w:rsid w:val="00D30015"/>
    <w:rsid w:val="00D454DD"/>
    <w:rsid w:val="00DE4AFE"/>
    <w:rsid w:val="00DF0142"/>
    <w:rsid w:val="00DF3481"/>
    <w:rsid w:val="00DF441D"/>
    <w:rsid w:val="00E07821"/>
    <w:rsid w:val="00E51944"/>
    <w:rsid w:val="00F16447"/>
    <w:rsid w:val="00F210DC"/>
    <w:rsid w:val="00FB187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BCFB7D"/>
  <w15:docId w15:val="{C4861D12-F1E8-4384-9E1B-169CE0D1E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441D"/>
    <w:pPr>
      <w:jc w:val="both"/>
    </w:pPr>
    <w:rPr>
      <w:rFonts w:ascii="Times New Roman" w:hAnsi="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F441D"/>
    <w:pPr>
      <w:ind w:left="720"/>
      <w:contextualSpacing/>
    </w:pPr>
  </w:style>
  <w:style w:type="paragraph" w:customStyle="1" w:styleId="parrafo">
    <w:name w:val="parrafo"/>
    <w:basedOn w:val="Normal"/>
    <w:rsid w:val="000F52DA"/>
    <w:pPr>
      <w:spacing w:before="100" w:beforeAutospacing="1" w:after="100" w:afterAutospacing="1" w:line="240" w:lineRule="auto"/>
      <w:jc w:val="left"/>
    </w:pPr>
    <w:rPr>
      <w:rFonts w:eastAsia="Times New Roman" w:cs="Times New Roman"/>
      <w:sz w:val="24"/>
      <w:szCs w:val="24"/>
      <w:lang w:eastAsia="es-ES"/>
    </w:rPr>
  </w:style>
  <w:style w:type="paragraph" w:customStyle="1" w:styleId="parrafo2">
    <w:name w:val="parrafo_2"/>
    <w:basedOn w:val="Normal"/>
    <w:rsid w:val="000F52DA"/>
    <w:pPr>
      <w:spacing w:before="100" w:beforeAutospacing="1" w:after="100" w:afterAutospacing="1" w:line="240" w:lineRule="auto"/>
      <w:jc w:val="left"/>
    </w:pPr>
    <w:rPr>
      <w:rFonts w:eastAsia="Times New Roman" w:cs="Times New Roman"/>
      <w:sz w:val="24"/>
      <w:szCs w:val="24"/>
      <w:lang w:eastAsia="es-ES"/>
    </w:rPr>
  </w:style>
  <w:style w:type="paragraph" w:customStyle="1" w:styleId="sangrado2">
    <w:name w:val="sangrado_2"/>
    <w:basedOn w:val="Normal"/>
    <w:rsid w:val="00E51944"/>
    <w:pPr>
      <w:spacing w:before="100" w:beforeAutospacing="1" w:after="100" w:afterAutospacing="1" w:line="240" w:lineRule="auto"/>
      <w:jc w:val="left"/>
    </w:pPr>
    <w:rPr>
      <w:rFonts w:eastAsia="Times New Roman" w:cs="Times New Roman"/>
      <w:sz w:val="24"/>
      <w:szCs w:val="24"/>
      <w:lang w:eastAsia="es-ES"/>
    </w:rPr>
  </w:style>
  <w:style w:type="paragraph" w:customStyle="1" w:styleId="sangrado">
    <w:name w:val="sangrado"/>
    <w:basedOn w:val="Normal"/>
    <w:rsid w:val="00E51944"/>
    <w:pPr>
      <w:spacing w:before="100" w:beforeAutospacing="1" w:after="100" w:afterAutospacing="1" w:line="240" w:lineRule="auto"/>
      <w:jc w:val="left"/>
    </w:pPr>
    <w:rPr>
      <w:rFonts w:eastAsia="Times New Roman" w:cs="Times New Roman"/>
      <w:sz w:val="24"/>
      <w:szCs w:val="24"/>
      <w:lang w:eastAsia="es-ES"/>
    </w:rPr>
  </w:style>
  <w:style w:type="paragraph" w:styleId="Ttulo">
    <w:name w:val="Title"/>
    <w:basedOn w:val="Normal"/>
    <w:next w:val="Normal"/>
    <w:link w:val="TtuloCar"/>
    <w:uiPriority w:val="10"/>
    <w:qFormat/>
    <w:rsid w:val="002E79C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2E79CF"/>
    <w:rPr>
      <w:rFonts w:asciiTheme="majorHAnsi" w:eastAsiaTheme="majorEastAsia" w:hAnsiTheme="majorHAnsi" w:cstheme="majorBidi"/>
      <w:spacing w:val="-10"/>
      <w:kern w:val="28"/>
      <w:sz w:val="56"/>
      <w:szCs w:val="56"/>
    </w:rPr>
  </w:style>
  <w:style w:type="paragraph" w:styleId="Encabezado">
    <w:name w:val="header"/>
    <w:basedOn w:val="Normal"/>
    <w:link w:val="EncabezadoCar"/>
    <w:uiPriority w:val="99"/>
    <w:unhideWhenUsed/>
    <w:rsid w:val="00326408"/>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26408"/>
    <w:rPr>
      <w:rFonts w:ascii="Times New Roman" w:hAnsi="Times New Roman"/>
    </w:rPr>
  </w:style>
  <w:style w:type="paragraph" w:styleId="Piedepgina">
    <w:name w:val="footer"/>
    <w:basedOn w:val="Normal"/>
    <w:link w:val="PiedepginaCar"/>
    <w:uiPriority w:val="99"/>
    <w:unhideWhenUsed/>
    <w:rsid w:val="00326408"/>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26408"/>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961265">
      <w:bodyDiv w:val="1"/>
      <w:marLeft w:val="0"/>
      <w:marRight w:val="0"/>
      <w:marTop w:val="0"/>
      <w:marBottom w:val="0"/>
      <w:divBdr>
        <w:top w:val="none" w:sz="0" w:space="0" w:color="auto"/>
        <w:left w:val="none" w:sz="0" w:space="0" w:color="auto"/>
        <w:bottom w:val="none" w:sz="0" w:space="0" w:color="auto"/>
        <w:right w:val="none" w:sz="0" w:space="0" w:color="auto"/>
      </w:divBdr>
    </w:div>
    <w:div w:id="362828676">
      <w:bodyDiv w:val="1"/>
      <w:marLeft w:val="0"/>
      <w:marRight w:val="0"/>
      <w:marTop w:val="0"/>
      <w:marBottom w:val="0"/>
      <w:divBdr>
        <w:top w:val="none" w:sz="0" w:space="0" w:color="auto"/>
        <w:left w:val="none" w:sz="0" w:space="0" w:color="auto"/>
        <w:bottom w:val="none" w:sz="0" w:space="0" w:color="auto"/>
        <w:right w:val="none" w:sz="0" w:space="0" w:color="auto"/>
      </w:divBdr>
    </w:div>
    <w:div w:id="392896396">
      <w:bodyDiv w:val="1"/>
      <w:marLeft w:val="0"/>
      <w:marRight w:val="0"/>
      <w:marTop w:val="0"/>
      <w:marBottom w:val="0"/>
      <w:divBdr>
        <w:top w:val="none" w:sz="0" w:space="0" w:color="auto"/>
        <w:left w:val="none" w:sz="0" w:space="0" w:color="auto"/>
        <w:bottom w:val="none" w:sz="0" w:space="0" w:color="auto"/>
        <w:right w:val="none" w:sz="0" w:space="0" w:color="auto"/>
      </w:divBdr>
    </w:div>
    <w:div w:id="836307510">
      <w:bodyDiv w:val="1"/>
      <w:marLeft w:val="0"/>
      <w:marRight w:val="0"/>
      <w:marTop w:val="0"/>
      <w:marBottom w:val="0"/>
      <w:divBdr>
        <w:top w:val="none" w:sz="0" w:space="0" w:color="auto"/>
        <w:left w:val="none" w:sz="0" w:space="0" w:color="auto"/>
        <w:bottom w:val="none" w:sz="0" w:space="0" w:color="auto"/>
        <w:right w:val="none" w:sz="0" w:space="0" w:color="auto"/>
      </w:divBdr>
    </w:div>
    <w:div w:id="181583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323</TotalTime>
  <Pages>9</Pages>
  <Words>3832</Words>
  <Characters>21077</Characters>
  <Application>Microsoft Office Word</Application>
  <DocSecurity>0</DocSecurity>
  <Lines>175</Lines>
  <Paragraphs>49</Paragraphs>
  <ScaleCrop>false</ScaleCrop>
  <HeadingPairs>
    <vt:vector size="2" baseType="variant">
      <vt:variant>
        <vt:lpstr>Título</vt:lpstr>
      </vt:variant>
      <vt:variant>
        <vt:i4>1</vt:i4>
      </vt:variant>
    </vt:vector>
  </HeadingPairs>
  <TitlesOfParts>
    <vt:vector size="1" baseType="lpstr">
      <vt:lpstr/>
    </vt:vector>
  </TitlesOfParts>
  <Company>AEAT</Company>
  <LinksUpToDate>false</LinksUpToDate>
  <CharactersWithSpaces>24860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dc:creator>
  <cp:lastModifiedBy>Patricia</cp:lastModifiedBy>
  <cp:revision>22</cp:revision>
  <dcterms:created xsi:type="dcterms:W3CDTF">2017-01-23T13:50:00Z</dcterms:created>
  <dcterms:modified xsi:type="dcterms:W3CDTF">2018-02-22T18:17:00Z</dcterms:modified>
</cp:coreProperties>
</file>